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D82F8">
      <w:pPr>
        <w:spacing w:line="360" w:lineRule="auto"/>
        <w:jc w:val="center"/>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2025年度资质评审仪器设备采购服务</w:t>
      </w:r>
    </w:p>
    <w:p w14:paraId="59BF2C95">
      <w:pPr>
        <w:spacing w:line="360" w:lineRule="auto"/>
        <w:jc w:val="center"/>
        <w:outlineLvl w:val="1"/>
        <w:rPr>
          <w:rFonts w:ascii="Times New Roman" w:hAnsi="Times New Roman" w:eastAsia="宋体" w:cs="Times New Roman"/>
          <w:color w:val="auto"/>
          <w:sz w:val="24"/>
        </w:rPr>
      </w:pPr>
      <w:r>
        <w:rPr>
          <w:rFonts w:hint="eastAsia" w:cs="Times New Roman"/>
          <w:b/>
          <w:color w:val="000000"/>
          <w:sz w:val="32"/>
          <w:szCs w:val="32"/>
          <w:lang w:val="en-US" w:eastAsia="zh-CN"/>
        </w:rPr>
        <w:t>询比</w:t>
      </w:r>
      <w:r>
        <w:rPr>
          <w:rFonts w:hint="eastAsia" w:ascii="Times New Roman" w:hAnsi="Times New Roman" w:eastAsia="宋体" w:cs="Times New Roman"/>
          <w:b/>
          <w:color w:val="000000"/>
          <w:sz w:val="32"/>
          <w:szCs w:val="32"/>
          <w:lang w:val="en-US" w:eastAsia="zh-CN"/>
        </w:rPr>
        <w:t>意向征集公告</w:t>
      </w:r>
    </w:p>
    <w:p w14:paraId="4168D9BE">
      <w:pPr>
        <w:keepNext w:val="0"/>
        <w:keepLines w:val="0"/>
        <w:pageBreakBefore w:val="0"/>
        <w:widowControl w:val="0"/>
        <w:kinsoku/>
        <w:wordWrap/>
        <w:overflowPunct/>
        <w:topLinePunct/>
        <w:autoSpaceDE/>
        <w:autoSpaceDN/>
        <w:bidi w:val="0"/>
        <w:adjustRightInd/>
        <w:snapToGrid/>
        <w:spacing w:line="400" w:lineRule="exact"/>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14:paraId="4713902C">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bookmarkStart w:id="0" w:name="OLE_LINK35"/>
      <w:bookmarkStart w:id="1" w:name="OLE_LINK34"/>
      <w:r>
        <w:rPr>
          <w:rFonts w:hint="eastAsia" w:cs="Times New Roman"/>
          <w:sz w:val="24"/>
          <w:lang w:val="en-US" w:eastAsia="zh-CN"/>
        </w:rPr>
        <w:t>1.1</w:t>
      </w:r>
      <w:r>
        <w:rPr>
          <w:rFonts w:hint="eastAsia" w:cs="Times New Roman"/>
          <w:b w:val="0"/>
          <w:bCs w:val="0"/>
          <w:sz w:val="24"/>
          <w:highlight w:val="none"/>
          <w:lang w:val="en-US" w:eastAsia="zh-CN"/>
        </w:rPr>
        <w:t>交货期：合同签订后1</w:t>
      </w:r>
      <w:bookmarkStart w:id="8" w:name="_GoBack"/>
      <w:bookmarkEnd w:id="8"/>
      <w:r>
        <w:rPr>
          <w:rFonts w:hint="eastAsia" w:cs="Times New Roman"/>
          <w:b w:val="0"/>
          <w:bCs w:val="0"/>
          <w:sz w:val="24"/>
          <w:highlight w:val="none"/>
          <w:lang w:val="en-US" w:eastAsia="zh-CN"/>
        </w:rPr>
        <w:t>5天内</w:t>
      </w:r>
      <w:r>
        <w:rPr>
          <w:rFonts w:hint="eastAsia" w:cs="Times New Roman"/>
          <w:sz w:val="24"/>
          <w:highlight w:val="none"/>
          <w:lang w:val="en-US" w:eastAsia="zh-CN"/>
        </w:rPr>
        <w:t>。</w:t>
      </w:r>
    </w:p>
    <w:p w14:paraId="6D0DA94B">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r>
        <w:rPr>
          <w:rFonts w:hint="eastAsia" w:cs="Times New Roman"/>
          <w:sz w:val="24"/>
          <w:lang w:val="en-US" w:eastAsia="zh-CN"/>
        </w:rPr>
        <w:t>1.2询比范围：2025年度资质评审仪器设备采购服务。</w:t>
      </w:r>
    </w:p>
    <w:p w14:paraId="0EA748A8">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r>
        <w:rPr>
          <w:rFonts w:hint="eastAsia" w:cs="Times New Roman"/>
          <w:sz w:val="24"/>
          <w:lang w:val="en-US" w:eastAsia="zh-CN"/>
        </w:rPr>
        <w:t>1.3交货地点：广州市。</w:t>
      </w:r>
    </w:p>
    <w:p w14:paraId="2A8C1E2D">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default" w:ascii="Times New Roman" w:hAnsi="Times New Roman" w:eastAsia="宋体" w:cs="Times New Roman"/>
          <w:sz w:val="24"/>
          <w:lang w:val="en-US" w:eastAsia="zh-CN"/>
        </w:rPr>
      </w:pPr>
      <w:r>
        <w:rPr>
          <w:rFonts w:hint="eastAsia" w:cs="Times New Roman"/>
          <w:sz w:val="24"/>
          <w:lang w:val="en-US" w:eastAsia="zh-CN"/>
        </w:rPr>
        <w:t>1.4最高限价：768123.00元</w:t>
      </w:r>
    </w:p>
    <w:p w14:paraId="2DF05B09">
      <w:pPr>
        <w:keepNext w:val="0"/>
        <w:keepLines w:val="0"/>
        <w:pageBreakBefore w:val="0"/>
        <w:widowControl w:val="0"/>
        <w:kinsoku/>
        <w:wordWrap/>
        <w:overflowPunct/>
        <w:autoSpaceDE/>
        <w:autoSpaceDN/>
        <w:bidi w:val="0"/>
        <w:adjustRightInd/>
        <w:snapToGrid/>
        <w:spacing w:line="400" w:lineRule="exact"/>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w:t>
      </w:r>
      <w:r>
        <w:rPr>
          <w:rFonts w:hint="eastAsia" w:cs="Times New Roman"/>
          <w:b/>
          <w:snapToGrid w:val="0"/>
          <w:color w:val="auto"/>
          <w:kern w:val="0"/>
          <w:sz w:val="24"/>
          <w:lang w:val="en-US" w:eastAsia="zh-CN"/>
        </w:rPr>
        <w:t>采购内容</w:t>
      </w:r>
    </w:p>
    <w:bookmarkEnd w:id="0"/>
    <w:bookmarkEnd w:id="1"/>
    <w:p w14:paraId="1CB40CF1">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ascii="Times New Roman" w:hAnsi="Times New Roman" w:eastAsia="宋体" w:cs="Times New Roman"/>
          <w:sz w:val="24"/>
          <w:lang w:val="en-US" w:eastAsia="zh-CN"/>
        </w:rPr>
      </w:pPr>
      <w:r>
        <w:rPr>
          <w:rFonts w:hint="eastAsia" w:cs="Times New Roman"/>
          <w:sz w:val="24"/>
          <w:lang w:val="en-US" w:eastAsia="zh-CN"/>
        </w:rPr>
        <w:t>2.1</w:t>
      </w:r>
      <w:r>
        <w:rPr>
          <w:rFonts w:hint="eastAsia" w:ascii="Times New Roman" w:hAnsi="Times New Roman" w:eastAsia="宋体" w:cs="Times New Roman"/>
          <w:sz w:val="24"/>
          <w:lang w:val="en-US" w:eastAsia="zh-CN"/>
        </w:rPr>
        <w:t>采购内容：为顺利通过资质评审，以及完成日常业务需求，现需采购一批全新的、未使用过的仪器设备，由供应商负责设备的运输、安装、调试和培训等服务，并协助采购人进行计量（计量单位为我司框架协议内的计量单位，不能计量的仪器双方协商确定计量单位），计量费用由采购人支付，检定或校准不合格的，需再次计量的仪器费用由供应商支付，仪器清单、数量及性能参数详见附</w:t>
      </w:r>
      <w:r>
        <w:rPr>
          <w:rFonts w:hint="eastAsia" w:cs="Times New Roman"/>
          <w:sz w:val="24"/>
          <w:lang w:val="en-US" w:eastAsia="zh-CN"/>
        </w:rPr>
        <w:t>录</w:t>
      </w:r>
      <w:r>
        <w:rPr>
          <w:rFonts w:hint="eastAsia" w:ascii="Times New Roman" w:hAnsi="Times New Roman" w:eastAsia="宋体" w:cs="Times New Roman"/>
          <w:sz w:val="24"/>
          <w:lang w:val="en-US" w:eastAsia="zh-CN"/>
        </w:rPr>
        <w:t>。</w:t>
      </w:r>
    </w:p>
    <w:p w14:paraId="6296A294">
      <w:pPr>
        <w:keepNext w:val="0"/>
        <w:keepLines w:val="0"/>
        <w:pageBreakBefore w:val="0"/>
        <w:widowControl w:val="0"/>
        <w:numPr>
          <w:ilvl w:val="0"/>
          <w:numId w:val="0"/>
        </w:numPr>
        <w:kinsoku/>
        <w:wordWrap/>
        <w:overflowPunct/>
        <w:topLinePunct/>
        <w:autoSpaceDE/>
        <w:autoSpaceDN/>
        <w:bidi w:val="0"/>
        <w:adjustRightInd/>
        <w:snapToGrid/>
        <w:spacing w:line="400" w:lineRule="exact"/>
        <w:textAlignment w:val="auto"/>
        <w:outlineLvl w:val="1"/>
        <w:rPr>
          <w:rFonts w:hint="eastAsia" w:ascii="Times New Roman" w:hAnsi="Times New Roman" w:eastAsia="宋体" w:cs="Times New Roman"/>
          <w:b/>
          <w:snapToGrid w:val="0"/>
          <w:color w:val="auto"/>
          <w:kern w:val="0"/>
          <w:sz w:val="24"/>
          <w:lang w:val="en-US" w:eastAsia="zh-CN"/>
        </w:rPr>
      </w:pPr>
      <w:r>
        <w:rPr>
          <w:rFonts w:hint="eastAsia" w:cs="Times New Roman"/>
          <w:b/>
          <w:snapToGrid w:val="0"/>
          <w:color w:val="auto"/>
          <w:kern w:val="0"/>
          <w:sz w:val="24"/>
          <w:szCs w:val="24"/>
          <w:lang w:val="en-US" w:eastAsia="zh-CN" w:bidi="ar-SA"/>
        </w:rPr>
        <w:t>3</w:t>
      </w:r>
      <w:r>
        <w:rPr>
          <w:rFonts w:hint="eastAsia" w:ascii="Times New Roman" w:hAnsi="Times New Roman" w:eastAsia="宋体" w:cs="Times New Roman"/>
          <w:b/>
          <w:snapToGrid w:val="0"/>
          <w:color w:val="auto"/>
          <w:kern w:val="0"/>
          <w:sz w:val="24"/>
          <w:szCs w:val="24"/>
          <w:lang w:val="en-US" w:eastAsia="zh-CN" w:bidi="ar-SA"/>
        </w:rPr>
        <w:t>.</w:t>
      </w:r>
      <w:r>
        <w:rPr>
          <w:rFonts w:hint="eastAsia" w:ascii="Times New Roman" w:hAnsi="Times New Roman" w:eastAsia="宋体" w:cs="Times New Roman"/>
          <w:b/>
          <w:snapToGrid w:val="0"/>
          <w:color w:val="auto"/>
          <w:kern w:val="0"/>
          <w:sz w:val="24"/>
          <w:lang w:val="en-US" w:eastAsia="zh-CN"/>
        </w:rPr>
        <w:t>供应商资格条件</w:t>
      </w:r>
    </w:p>
    <w:p w14:paraId="61C872B8">
      <w:pPr>
        <w:keepNext w:val="0"/>
        <w:keepLines w:val="0"/>
        <w:pageBreakBefore w:val="0"/>
        <w:widowControl w:val="0"/>
        <w:shd w:val="clear"/>
        <w:kinsoku/>
        <w:wordWrap/>
        <w:overflowPunct/>
        <w:topLinePunct/>
        <w:autoSpaceDE/>
        <w:autoSpaceDN/>
        <w:bidi w:val="0"/>
        <w:adjustRightInd/>
        <w:snapToGrid/>
        <w:spacing w:line="400" w:lineRule="exact"/>
        <w:ind w:firstLine="480" w:firstLineChars="200"/>
        <w:textAlignment w:val="auto"/>
        <w:outlineLvl w:val="1"/>
        <w:rPr>
          <w:rFonts w:hint="eastAsia" w:ascii="Times New Roman" w:hAnsi="Times New Roman" w:eastAsia="宋体" w:cs="Times New Roman"/>
          <w:bCs/>
          <w:snapToGrid w:val="0"/>
          <w:kern w:val="0"/>
          <w:sz w:val="24"/>
          <w:lang w:val="en-US" w:eastAsia="zh-CN"/>
        </w:rPr>
      </w:pPr>
      <w:r>
        <w:rPr>
          <w:rFonts w:hint="eastAsia" w:cs="Times New Roman"/>
          <w:bCs/>
          <w:snapToGrid w:val="0"/>
          <w:kern w:val="0"/>
          <w:sz w:val="24"/>
          <w:lang w:val="en-US" w:eastAsia="zh-CN"/>
        </w:rPr>
        <w:t>3</w:t>
      </w:r>
      <w:r>
        <w:rPr>
          <w:rFonts w:hint="eastAsia" w:ascii="Times New Roman" w:hAnsi="Times New Roman" w:eastAsia="宋体" w:cs="Times New Roman"/>
          <w:bCs/>
          <w:snapToGrid w:val="0"/>
          <w:kern w:val="0"/>
          <w:sz w:val="24"/>
          <w:lang w:val="en-US" w:eastAsia="zh-CN"/>
        </w:rPr>
        <w:t>.1本次询比要求供应商具有独立法人资格，持有工商行政管理部门颁发的有效的营业执照，或事业单位法人证书；近3年内（2022年1月1日至递交响应文件截止之日止）至少独立承揽过1项工程试验检测仪器设备供应或销售服务项目业绩，在人员、信誉等方面具有相应的服务能力。</w:t>
      </w:r>
    </w:p>
    <w:p w14:paraId="7770FFC7">
      <w:pPr>
        <w:keepNext w:val="0"/>
        <w:keepLines w:val="0"/>
        <w:pageBreakBefore w:val="0"/>
        <w:widowControl w:val="0"/>
        <w:shd w:val="clear"/>
        <w:kinsoku/>
        <w:wordWrap/>
        <w:overflowPunct/>
        <w:topLinePunct/>
        <w:autoSpaceDE/>
        <w:autoSpaceDN/>
        <w:bidi w:val="0"/>
        <w:adjustRightInd/>
        <w:snapToGrid/>
        <w:spacing w:line="400" w:lineRule="exact"/>
        <w:ind w:firstLine="480" w:firstLineChars="200"/>
        <w:textAlignment w:val="auto"/>
        <w:outlineLvl w:val="1"/>
        <w:rPr>
          <w:rFonts w:hint="eastAsia" w:ascii="Times New Roman" w:hAnsi="Times New Roman" w:eastAsia="宋体" w:cs="Times New Roman"/>
          <w:bCs/>
          <w:snapToGrid w:val="0"/>
          <w:kern w:val="0"/>
          <w:sz w:val="24"/>
          <w:lang w:val="en-US" w:eastAsia="zh-CN"/>
        </w:rPr>
      </w:pPr>
      <w:r>
        <w:rPr>
          <w:rFonts w:hint="eastAsia" w:cs="Times New Roman"/>
          <w:bCs/>
          <w:snapToGrid w:val="0"/>
          <w:kern w:val="0"/>
          <w:sz w:val="24"/>
          <w:lang w:val="en-US" w:eastAsia="zh-CN"/>
        </w:rPr>
        <w:t>3</w:t>
      </w:r>
      <w:r>
        <w:rPr>
          <w:rFonts w:hint="eastAsia" w:ascii="Times New Roman" w:hAnsi="Times New Roman" w:eastAsia="宋体" w:cs="Times New Roman"/>
          <w:bCs/>
          <w:snapToGrid w:val="0"/>
          <w:kern w:val="0"/>
          <w:sz w:val="24"/>
          <w:lang w:val="en-US" w:eastAsia="zh-CN"/>
        </w:rPr>
        <w:t>.2本次询比不接受联合体报价。</w:t>
      </w:r>
    </w:p>
    <w:p w14:paraId="5F663079">
      <w:pPr>
        <w:keepNext w:val="0"/>
        <w:keepLines w:val="0"/>
        <w:pageBreakBefore w:val="0"/>
        <w:widowControl w:val="0"/>
        <w:shd w:val="clear"/>
        <w:kinsoku/>
        <w:wordWrap/>
        <w:overflowPunct/>
        <w:topLinePunct/>
        <w:autoSpaceDE/>
        <w:autoSpaceDN/>
        <w:bidi w:val="0"/>
        <w:adjustRightInd/>
        <w:snapToGrid/>
        <w:spacing w:line="400" w:lineRule="exact"/>
        <w:ind w:firstLine="480" w:firstLineChars="20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cs="Times New Roman"/>
          <w:bCs/>
          <w:snapToGrid w:val="0"/>
          <w:kern w:val="0"/>
          <w:sz w:val="24"/>
          <w:lang w:val="en-US" w:eastAsia="zh-CN"/>
        </w:rPr>
        <w:t>3</w:t>
      </w:r>
      <w:r>
        <w:rPr>
          <w:rFonts w:hint="eastAsia" w:ascii="Times New Roman" w:hAnsi="Times New Roman" w:eastAsia="宋体" w:cs="Times New Roman"/>
          <w:bCs/>
          <w:snapToGrid w:val="0"/>
          <w:kern w:val="0"/>
          <w:sz w:val="24"/>
          <w:lang w:val="en-US" w:eastAsia="zh-CN"/>
        </w:rPr>
        <w:t>.3与采购人存在利害关系可能影响询比公正性的法人，不得参加报价；若存在单位负责人</w:t>
      </w:r>
      <w:r>
        <w:rPr>
          <w:rFonts w:hint="eastAsia" w:ascii="Times New Roman" w:hAnsi="Times New Roman" w:eastAsia="宋体" w:cs="Times New Roman"/>
          <w:bCs/>
          <w:snapToGrid w:val="0"/>
          <w:kern w:val="0"/>
          <w:sz w:val="24"/>
          <w:lang w:val="en-US" w:eastAsia="zh-CN"/>
        </w:rPr>
        <w:footnoteReference w:id="0"/>
      </w:r>
      <w:r>
        <w:rPr>
          <w:rFonts w:hint="eastAsia" w:ascii="Times New Roman" w:hAnsi="Times New Roman" w:eastAsia="宋体" w:cs="Times New Roman"/>
          <w:bCs/>
          <w:snapToGrid w:val="0"/>
          <w:kern w:val="0"/>
          <w:sz w:val="24"/>
          <w:lang w:val="en-US" w:eastAsia="zh-CN"/>
        </w:rPr>
        <w:t>为同一人、或者存在控股</w:t>
      </w:r>
      <w:r>
        <w:rPr>
          <w:rFonts w:hint="eastAsia" w:ascii="Times New Roman" w:hAnsi="Times New Roman" w:eastAsia="宋体" w:cs="Times New Roman"/>
          <w:bCs/>
          <w:snapToGrid w:val="0"/>
          <w:kern w:val="0"/>
          <w:sz w:val="24"/>
          <w:lang w:val="en-US" w:eastAsia="zh-CN"/>
        </w:rPr>
        <w:footnoteReference w:id="1"/>
      </w:r>
      <w:r>
        <w:rPr>
          <w:rFonts w:hint="eastAsia" w:ascii="Times New Roman" w:hAnsi="Times New Roman" w:eastAsia="宋体" w:cs="Times New Roman"/>
          <w:bCs/>
          <w:snapToGrid w:val="0"/>
          <w:kern w:val="0"/>
          <w:sz w:val="24"/>
          <w:lang w:val="en-US" w:eastAsia="zh-CN"/>
        </w:rPr>
        <w:t>、管理关系</w:t>
      </w:r>
      <w:r>
        <w:rPr>
          <w:rFonts w:hint="eastAsia" w:ascii="Times New Roman" w:hAnsi="Times New Roman" w:eastAsia="宋体" w:cs="Times New Roman"/>
          <w:bCs/>
          <w:snapToGrid w:val="0"/>
          <w:kern w:val="0"/>
          <w:sz w:val="24"/>
          <w:lang w:val="en-US" w:eastAsia="zh-CN"/>
        </w:rPr>
        <w:footnoteReference w:id="2"/>
      </w:r>
      <w:r>
        <w:rPr>
          <w:rFonts w:hint="eastAsia" w:ascii="Times New Roman" w:hAnsi="Times New Roman" w:eastAsia="宋体" w:cs="Times New Roman"/>
          <w:bCs/>
          <w:snapToGrid w:val="0"/>
          <w:kern w:val="0"/>
          <w:sz w:val="24"/>
          <w:lang w:val="en-US" w:eastAsia="zh-CN"/>
        </w:rPr>
        <w:t>的不同单位、不得同时参加本次询比项目的报价，否则均按无效响应处理。</w:t>
      </w:r>
    </w:p>
    <w:p w14:paraId="07D67D7A">
      <w:pPr>
        <w:keepNext w:val="0"/>
        <w:keepLines w:val="0"/>
        <w:pageBreakBefore w:val="0"/>
        <w:widowControl w:val="0"/>
        <w:kinsoku/>
        <w:wordWrap/>
        <w:overflowPunct/>
        <w:topLinePunct/>
        <w:autoSpaceDE/>
        <w:autoSpaceDN/>
        <w:bidi w:val="0"/>
        <w:adjustRightInd/>
        <w:snapToGrid/>
        <w:spacing w:line="400" w:lineRule="exact"/>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14:paraId="488CB68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凡有意参加本</w:t>
      </w:r>
      <w:r>
        <w:rPr>
          <w:rFonts w:hint="eastAsia" w:ascii="Times New Roman" w:hAnsi="Times New Roman" w:eastAsia="宋体" w:cs="Times New Roman"/>
          <w:color w:val="auto"/>
          <w:sz w:val="24"/>
          <w:lang w:val="en-US" w:eastAsia="zh-CN"/>
        </w:rPr>
        <w:t>项目</w:t>
      </w:r>
      <w:r>
        <w:rPr>
          <w:rFonts w:hint="eastAsia" w:ascii="Times New Roman" w:hAnsi="Times New Roman" w:eastAsia="宋体" w:cs="Times New Roman"/>
          <w:color w:val="auto"/>
          <w:sz w:val="24"/>
        </w:rPr>
        <w:t>并符合资格要求的供应商，请于</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202</w:t>
      </w:r>
      <w:r>
        <w:rPr>
          <w:rFonts w:hint="eastAsia" w:ascii="Times New Roman" w:hAnsi="Times New Roman" w:eastAsia="宋体" w:cs="Times New Roman"/>
          <w:color w:val="auto"/>
          <w:sz w:val="24"/>
          <w:highlight w:val="none"/>
          <w:lang w:val="en-US" w:eastAsia="zh-CN"/>
        </w:rPr>
        <w:t xml:space="preserve">5 </w:t>
      </w:r>
      <w:r>
        <w:rPr>
          <w:rFonts w:hint="eastAsia" w:ascii="Times New Roman" w:hAnsi="Times New Roman" w:eastAsia="宋体" w:cs="Times New Roman"/>
          <w:color w:val="auto"/>
          <w:sz w:val="24"/>
          <w:highlight w:val="none"/>
        </w:rPr>
        <w:t>年</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2</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月</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20</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日</w:t>
      </w:r>
      <w:r>
        <w:rPr>
          <w:rFonts w:hint="eastAsia" w:ascii="Times New Roman" w:hAnsi="Times New Roman" w:eastAsia="宋体" w:cs="Times New Roman"/>
          <w:color w:val="auto"/>
          <w:sz w:val="24"/>
          <w:lang w:val="en-US" w:eastAsia="zh-CN"/>
        </w:rPr>
        <w:t>前</w:t>
      </w:r>
      <w:r>
        <w:rPr>
          <w:rFonts w:hint="eastAsia" w:ascii="Times New Roman" w:hAnsi="Times New Roman" w:eastAsia="宋体" w:cs="Times New Roman"/>
          <w:color w:val="auto"/>
          <w:sz w:val="24"/>
        </w:rPr>
        <w:t>将</w:t>
      </w:r>
      <w:r>
        <w:rPr>
          <w:rFonts w:hint="eastAsia" w:ascii="Times New Roman" w:hAnsi="Times New Roman" w:eastAsia="宋体" w:cs="Times New Roman"/>
          <w:color w:val="auto"/>
          <w:sz w:val="24"/>
          <w:lang w:val="en-US" w:eastAsia="zh-CN"/>
        </w:rPr>
        <w:t>意向响应回执、营业执照、</w:t>
      </w:r>
      <w:r>
        <w:rPr>
          <w:rFonts w:hint="eastAsia" w:ascii="Times New Roman" w:hAnsi="Times New Roman" w:eastAsia="宋体" w:cs="Times New Roman"/>
          <w:color w:val="auto"/>
          <w:sz w:val="24"/>
        </w:rPr>
        <w:t>中国执行信息公开网</w:t>
      </w:r>
      <w:r>
        <w:rPr>
          <w:rFonts w:hint="eastAsia" w:ascii="Times New Roman" w:hAnsi="Times New Roman" w:eastAsia="宋体" w:cs="Times New Roman"/>
          <w:color w:val="auto"/>
          <w:sz w:val="24"/>
          <w:lang w:val="en-US" w:eastAsia="zh-CN"/>
        </w:rPr>
        <w:t>及国家企业信用信息公示系统查询截图、公司简介（须包含类似项目业绩经验）等资料</w:t>
      </w:r>
      <w:r>
        <w:rPr>
          <w:rFonts w:hint="eastAsia" w:ascii="Times New Roman" w:hAnsi="Times New Roman" w:eastAsia="宋体" w:cs="Times New Roman"/>
          <w:color w:val="auto"/>
          <w:sz w:val="24"/>
        </w:rPr>
        <w:t>发送至采购</w:t>
      </w:r>
      <w:r>
        <w:rPr>
          <w:rFonts w:hint="eastAsia" w:ascii="Times New Roman" w:hAnsi="Times New Roman" w:eastAsia="宋体" w:cs="Times New Roman"/>
          <w:color w:val="auto"/>
          <w:sz w:val="24"/>
          <w:lang w:val="en-US" w:eastAsia="zh-CN"/>
        </w:rPr>
        <w:t>人</w:t>
      </w:r>
      <w:r>
        <w:rPr>
          <w:rFonts w:hint="eastAsia" w:ascii="Times New Roman" w:hAnsi="Times New Roman" w:eastAsia="宋体" w:cs="Times New Roman"/>
          <w:color w:val="auto"/>
          <w:sz w:val="24"/>
        </w:rPr>
        <w:t>电子邮箱（</w:t>
      </w:r>
      <w:r>
        <w:rPr>
          <w:rFonts w:hint="eastAsia" w:ascii="Times New Roman" w:hAnsi="Times New Roman" w:eastAsia="宋体" w:cs="Times New Roman"/>
          <w:color w:val="auto"/>
          <w:sz w:val="24"/>
          <w:lang w:val="en-US" w:eastAsia="zh-CN"/>
        </w:rPr>
        <w:t>1318567826@qq</w:t>
      </w:r>
      <w:r>
        <w:rPr>
          <w:rFonts w:hint="eastAsia" w:ascii="Times New Roman" w:hAnsi="Times New Roman" w:eastAsia="宋体" w:cs="Times New Roman"/>
          <w:color w:val="auto"/>
          <w:sz w:val="24"/>
        </w:rPr>
        <w:t>.com）</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不响应或逾期响应的供应商将被拒绝参加本项目下一阶段的采购活动（以</w:t>
      </w:r>
      <w:r>
        <w:rPr>
          <w:rFonts w:hint="eastAsia" w:ascii="Times New Roman" w:hAnsi="Times New Roman" w:eastAsia="宋体" w:cs="Times New Roman"/>
          <w:color w:val="auto"/>
          <w:sz w:val="24"/>
        </w:rPr>
        <w:t>采购</w:t>
      </w:r>
      <w:r>
        <w:rPr>
          <w:rFonts w:hint="eastAsia" w:ascii="Times New Roman" w:hAnsi="Times New Roman" w:eastAsia="宋体" w:cs="Times New Roman"/>
          <w:color w:val="auto"/>
          <w:sz w:val="24"/>
          <w:lang w:val="en-US" w:eastAsia="zh-CN"/>
        </w:rPr>
        <w:t>人上述</w:t>
      </w:r>
      <w:r>
        <w:rPr>
          <w:rFonts w:hint="eastAsia" w:ascii="Times New Roman" w:hAnsi="Times New Roman" w:eastAsia="宋体" w:cs="Times New Roman"/>
          <w:color w:val="auto"/>
          <w:sz w:val="24"/>
        </w:rPr>
        <w:t>电子邮箱</w:t>
      </w:r>
      <w:r>
        <w:rPr>
          <w:rFonts w:hint="eastAsia" w:ascii="Times New Roman" w:hAnsi="Times New Roman" w:eastAsia="宋体" w:cs="Times New Roman"/>
          <w:color w:val="auto"/>
          <w:sz w:val="24"/>
          <w:lang w:val="en-US" w:eastAsia="zh-CN"/>
        </w:rPr>
        <w:t>收到的意向相应回执时间为准），采购人将根据供应商提供的资料择优邀请不少于3家供应商进行下一阶段采购，未收到邀请的供应商不得参与下一阶段采购活动，不再另行通知。</w:t>
      </w:r>
    </w:p>
    <w:p w14:paraId="466FA47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lang w:val="en-US" w:eastAsia="zh-CN"/>
        </w:rPr>
        <w:t>本项目下一阶段采购活动将采用阳光采购服务平台（https://www.gzsun.com.cn/）电子标方式进行，有意愿参与的供应商根据自身情况及时办理相关手续。</w:t>
      </w:r>
    </w:p>
    <w:p w14:paraId="0E5BF2AB">
      <w:pPr>
        <w:keepNext w:val="0"/>
        <w:keepLines w:val="0"/>
        <w:pageBreakBefore w:val="0"/>
        <w:widowControl w:val="0"/>
        <w:kinsoku/>
        <w:wordWrap/>
        <w:overflowPunct/>
        <w:topLinePunct/>
        <w:autoSpaceDE/>
        <w:autoSpaceDN/>
        <w:bidi w:val="0"/>
        <w:adjustRightInd/>
        <w:snapToGrid/>
        <w:spacing w:line="400" w:lineRule="exact"/>
        <w:textAlignment w:val="auto"/>
        <w:outlineLvl w:val="1"/>
        <w:rPr>
          <w:rFonts w:ascii="Times New Roman" w:hAnsi="Times New Roman" w:eastAsia="宋体" w:cs="Times New Roman"/>
          <w:b/>
          <w:snapToGrid w:val="0"/>
          <w:color w:val="000000"/>
          <w:kern w:val="0"/>
          <w:sz w:val="24"/>
        </w:rPr>
      </w:pPr>
      <w:bookmarkStart w:id="2" w:name="_Toc332793818"/>
      <w:bookmarkStart w:id="3" w:name="_Toc332793891"/>
      <w:bookmarkStart w:id="4" w:name="_Toc332965960"/>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14:paraId="5C1B0C55">
      <w:pPr>
        <w:keepNext w:val="0"/>
        <w:keepLines w:val="0"/>
        <w:pageBreakBefore w:val="0"/>
        <w:widowControl w:val="0"/>
        <w:kinsoku/>
        <w:wordWrap/>
        <w:overflowPunct/>
        <w:topLinePunct/>
        <w:autoSpaceDE/>
        <w:autoSpaceDN/>
        <w:bidi w:val="0"/>
        <w:adjustRightInd/>
        <w:snapToGrid/>
        <w:spacing w:line="400" w:lineRule="exac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14:paraId="4C9ED735">
      <w:pPr>
        <w:keepNext w:val="0"/>
        <w:keepLines w:val="0"/>
        <w:pageBreakBefore w:val="0"/>
        <w:widowControl w:val="0"/>
        <w:kinsoku/>
        <w:wordWrap/>
        <w:overflowPunct/>
        <w:topLinePunct/>
        <w:autoSpaceDE/>
        <w:autoSpaceDN/>
        <w:bidi w:val="0"/>
        <w:adjustRightInd/>
        <w:snapToGrid/>
        <w:spacing w:line="400" w:lineRule="exac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14:paraId="189067CF">
      <w:pPr>
        <w:keepNext w:val="0"/>
        <w:keepLines w:val="0"/>
        <w:pageBreakBefore w:val="0"/>
        <w:widowControl w:val="0"/>
        <w:kinsoku/>
        <w:wordWrap/>
        <w:overflowPunct/>
        <w:topLinePunct/>
        <w:autoSpaceDE/>
        <w:autoSpaceDN/>
        <w:bidi w:val="0"/>
        <w:adjustRightInd/>
        <w:snapToGrid/>
        <w:spacing w:line="400" w:lineRule="exact"/>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14:paraId="362D3A8F">
      <w:pPr>
        <w:keepNext w:val="0"/>
        <w:keepLines w:val="0"/>
        <w:pageBreakBefore w:val="0"/>
        <w:widowControl w:val="0"/>
        <w:kinsoku/>
        <w:wordWrap/>
        <w:overflowPunct/>
        <w:topLinePunct/>
        <w:autoSpaceDE/>
        <w:autoSpaceDN/>
        <w:bidi w:val="0"/>
        <w:adjustRightInd/>
        <w:snapToGrid/>
        <w:spacing w:line="400" w:lineRule="exac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14:paraId="18FCE93B">
      <w:pPr>
        <w:keepNext w:val="0"/>
        <w:keepLines w:val="0"/>
        <w:pageBreakBefore w:val="0"/>
        <w:widowControl w:val="0"/>
        <w:kinsoku/>
        <w:wordWrap/>
        <w:overflowPunct/>
        <w:topLinePunct/>
        <w:autoSpaceDE/>
        <w:autoSpaceDN/>
        <w:bidi w:val="0"/>
        <w:adjustRightInd/>
        <w:snapToGrid/>
        <w:spacing w:line="400" w:lineRule="exact"/>
        <w:textAlignment w:val="auto"/>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14:paraId="1F19ACCB">
      <w:pPr>
        <w:keepNext w:val="0"/>
        <w:keepLines w:val="0"/>
        <w:pageBreakBefore w:val="0"/>
        <w:widowControl w:val="0"/>
        <w:kinsoku/>
        <w:wordWrap/>
        <w:overflowPunct/>
        <w:topLinePunct/>
        <w:autoSpaceDE/>
        <w:autoSpaceDN/>
        <w:bidi w:val="0"/>
        <w:adjustRightInd/>
        <w:snapToGrid/>
        <w:spacing w:line="400" w:lineRule="exact"/>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14:paraId="0C754277">
      <w:pPr>
        <w:keepNext w:val="0"/>
        <w:keepLines w:val="0"/>
        <w:pageBreakBefore w:val="0"/>
        <w:widowControl w:val="0"/>
        <w:kinsoku/>
        <w:wordWrap/>
        <w:overflowPunct/>
        <w:topLinePunct/>
        <w:autoSpaceDE/>
        <w:autoSpaceDN/>
        <w:bidi w:val="0"/>
        <w:adjustRightInd/>
        <w:snapToGrid/>
        <w:spacing w:line="400" w:lineRule="exact"/>
        <w:jc w:val="right"/>
        <w:textAlignment w:val="auto"/>
        <w:rPr>
          <w:rFonts w:ascii="宋体"/>
          <w:color w:val="000000"/>
          <w:sz w:val="24"/>
          <w:highlight w:val="yellow"/>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5</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2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18 </w:t>
      </w:r>
      <w:r>
        <w:rPr>
          <w:rFonts w:hint="eastAsia" w:ascii="Times New Roman" w:hAnsi="Times New Roman" w:eastAsia="宋体" w:cs="Times New Roman"/>
          <w:color w:val="000000"/>
          <w:sz w:val="24"/>
          <w:highlight w:val="none"/>
        </w:rPr>
        <w:t>日</w:t>
      </w:r>
    </w:p>
    <w:p w14:paraId="4462F0F7">
      <w:r>
        <w:br w:type="page"/>
      </w:r>
    </w:p>
    <w:p w14:paraId="2E872B74">
      <w:pPr>
        <w:pStyle w:val="2"/>
      </w:pPr>
    </w:p>
    <w:p w14:paraId="28F5466B">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14:paraId="5B113EAF">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14:paraId="206AF71D">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14:paraId="24D1F822">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2025年度资质评审仪器设备采购服务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14:paraId="38C25C35">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14:paraId="472A7787">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14:paraId="3277FCDC">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14:paraId="7CC454D4">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14:paraId="4B8BCA99">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14:paraId="13E80546">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14:paraId="569B6729">
      <w:pPr>
        <w:jc w:val="right"/>
        <w:rPr>
          <w:rFonts w:hint="eastAsia" w:ascii="仿宋" w:hAnsi="仿宋" w:eastAsia="仿宋" w:cs="仿宋"/>
          <w:sz w:val="28"/>
          <w:szCs w:val="28"/>
          <w:highlight w:val="none"/>
        </w:rPr>
      </w:pPr>
    </w:p>
    <w:p w14:paraId="1FBD5EB7">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14:paraId="3254A89C">
      <w:r>
        <w:br w:type="page"/>
      </w:r>
    </w:p>
    <w:p w14:paraId="4FE5BABE">
      <w:pPr>
        <w:spacing w:line="460" w:lineRule="exact"/>
        <w:jc w:val="both"/>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附录</w:t>
      </w:r>
    </w:p>
    <w:p w14:paraId="622FE50A">
      <w:pPr>
        <w:spacing w:line="460" w:lineRule="exact"/>
        <w:jc w:val="center"/>
        <w:rPr>
          <w:rFonts w:hint="eastAsia" w:ascii="Times New Roman" w:hAnsi="Times New Roman" w:eastAsia="宋体" w:cs="Times New Roman"/>
          <w:b/>
          <w:sz w:val="24"/>
          <w:szCs w:val="24"/>
          <w:lang w:val="en-US" w:eastAsia="zh-CN"/>
        </w:rPr>
      </w:pPr>
      <w:bookmarkStart w:id="5" w:name="_Toc152047200"/>
      <w:bookmarkStart w:id="6" w:name="_Toc144974404"/>
      <w:bookmarkStart w:id="7" w:name="_Toc179715693"/>
      <w:r>
        <w:rPr>
          <w:rFonts w:hint="eastAsia" w:ascii="Times New Roman" w:hAnsi="Times New Roman" w:eastAsia="宋体" w:cs="Times New Roman"/>
          <w:b/>
          <w:sz w:val="24"/>
          <w:szCs w:val="24"/>
          <w:lang w:val="en-US" w:eastAsia="zh-CN"/>
        </w:rPr>
        <w:t>附录1  资格审查条件（资格最低要求）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0"/>
      </w:tblGrid>
      <w:tr w14:paraId="0FB8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14:paraId="12B1E87D">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资格要求</w:t>
            </w:r>
          </w:p>
        </w:tc>
      </w:tr>
      <w:tr w14:paraId="55F2E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14:paraId="5014A635">
            <w:pPr>
              <w:rPr>
                <w:rFonts w:hint="eastAsia" w:ascii="宋体" w:hAnsi="宋体" w:eastAsia="宋体" w:cs="宋体"/>
                <w:b/>
                <w:bCs/>
                <w:sz w:val="30"/>
                <w:szCs w:val="30"/>
                <w:lang w:val="en-US" w:eastAsia="zh-CN"/>
              </w:rPr>
            </w:pPr>
            <w:r>
              <w:rPr>
                <w:rFonts w:hint="eastAsia" w:ascii="Times New Roman" w:hAnsi="Times New Roman" w:eastAsia="宋体" w:cs="Times New Roman"/>
                <w:szCs w:val="21"/>
                <w:lang w:val="en-US" w:eastAsia="zh-CN"/>
              </w:rPr>
              <w:t>供应商具有工商行政管理部门颁发的有效的营业执照。</w:t>
            </w:r>
          </w:p>
        </w:tc>
      </w:tr>
    </w:tbl>
    <w:p w14:paraId="5635B925">
      <w:p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 xml:space="preserve"> </w:t>
      </w:r>
      <w:r>
        <w:rPr>
          <w:rFonts w:hint="eastAsia" w:ascii="Times New Roman" w:hAnsi="Times New Roman" w:eastAsia="宋体" w:cs="Times New Roman"/>
          <w:bCs/>
          <w:sz w:val="21"/>
          <w:szCs w:val="21"/>
          <w:lang w:val="en-US" w:eastAsia="zh-CN"/>
        </w:rPr>
        <w:t xml:space="preserve">  注：需在响应文件格式表3-1后附上述证明材料。</w:t>
      </w:r>
    </w:p>
    <w:p w14:paraId="63474B72">
      <w:pPr>
        <w:rPr>
          <w:rFonts w:hint="eastAsia" w:ascii="宋体" w:hAnsi="宋体" w:eastAsia="宋体" w:cs="宋体"/>
          <w:b/>
          <w:bCs/>
          <w:sz w:val="30"/>
          <w:szCs w:val="30"/>
          <w:lang w:val="en-US" w:eastAsia="zh-CN"/>
        </w:rPr>
      </w:pPr>
    </w:p>
    <w:p w14:paraId="0E110D23">
      <w:pPr>
        <w:widowControl/>
        <w:jc w:val="left"/>
        <w:rPr>
          <w:rFonts w:hint="eastAsia" w:ascii="宋体" w:hAnsi="宋体" w:eastAsia="宋体" w:cs="宋体"/>
          <w:b/>
          <w:bCs/>
          <w:kern w:val="2"/>
          <w:sz w:val="30"/>
          <w:szCs w:val="30"/>
          <w:lang w:val="en-US" w:eastAsia="zh-CN" w:bidi="ar-SA"/>
        </w:rPr>
      </w:pPr>
    </w:p>
    <w:p w14:paraId="5CC154FB">
      <w:pPr>
        <w:rPr>
          <w:rFonts w:hint="eastAsia" w:ascii="宋体" w:hAnsi="宋体" w:eastAsia="宋体" w:cs="宋体"/>
          <w:b/>
          <w:bCs/>
          <w:sz w:val="30"/>
          <w:szCs w:val="30"/>
          <w:lang w:val="en-US" w:eastAsia="zh-CN"/>
        </w:rPr>
      </w:pPr>
    </w:p>
    <w:p w14:paraId="6C545AFC">
      <w:pPr>
        <w:spacing w:line="460" w:lineRule="exact"/>
        <w:jc w:val="center"/>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附录2  资格审查条件（业绩最低要求）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8"/>
      </w:tblGrid>
      <w:tr w14:paraId="1107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078" w:type="dxa"/>
            <w:noWrap w:val="0"/>
            <w:vAlign w:val="center"/>
          </w:tcPr>
          <w:p w14:paraId="7C8EAEDD">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业绩要求</w:t>
            </w:r>
          </w:p>
        </w:tc>
      </w:tr>
      <w:tr w14:paraId="60FB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9078" w:type="dxa"/>
            <w:noWrap w:val="0"/>
            <w:vAlign w:val="center"/>
          </w:tcPr>
          <w:p w14:paraId="60E00A35">
            <w:pPr>
              <w:rPr>
                <w:rFonts w:hint="eastAsia" w:ascii="宋体" w:hAnsi="宋体" w:eastAsia="宋体" w:cs="宋体"/>
                <w:b/>
                <w:bCs/>
                <w:sz w:val="30"/>
                <w:szCs w:val="30"/>
                <w:lang w:val="en-US" w:eastAsia="zh-CN"/>
              </w:rPr>
            </w:pPr>
            <w:r>
              <w:rPr>
                <w:rFonts w:hint="eastAsia" w:ascii="Times New Roman" w:hAnsi="Times New Roman" w:eastAsia="宋体" w:cs="Times New Roman"/>
                <w:szCs w:val="21"/>
                <w:lang w:val="en-US" w:eastAsia="zh-CN"/>
              </w:rPr>
              <w:t>近3年内（2022年1月1日）至少独立承揽过1项工程试验检测仪器设备供应或销售服务项目业绩。</w:t>
            </w:r>
          </w:p>
        </w:tc>
      </w:tr>
    </w:tbl>
    <w:p w14:paraId="7F60267A">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注：1.需在响应文件格式表3-2后须附中标通知书（如有）、合同协议书的复印件。</w:t>
      </w:r>
    </w:p>
    <w:p w14:paraId="6F87DC2A">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 xml:space="preserve">    2.承接时间以合同中载明的项目合同签订时间为准，如合同无载明时间和工作内容，需附业主开具的相应内容证明材料。</w:t>
      </w:r>
    </w:p>
    <w:p w14:paraId="29C2E69B">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 xml:space="preserve">    3.如近年来，供应商法人机构发生合法变更或重组或法人名称变更时，应提供相关部门的合法批件或其他相关证明材料来证明其所附业绩的继承性。</w:t>
      </w:r>
    </w:p>
    <w:bookmarkEnd w:id="5"/>
    <w:bookmarkEnd w:id="6"/>
    <w:bookmarkEnd w:id="7"/>
    <w:p w14:paraId="0C67233D">
      <w:pPr>
        <w:rPr>
          <w:rFonts w:hint="eastAsia" w:ascii="宋体" w:hAnsi="宋体" w:eastAsia="宋体" w:cs="宋体"/>
          <w:b/>
          <w:bCs/>
          <w:sz w:val="30"/>
          <w:szCs w:val="30"/>
          <w:lang w:val="en-US" w:eastAsia="zh-CN"/>
        </w:rPr>
      </w:pPr>
    </w:p>
    <w:p w14:paraId="1928BC65">
      <w:pPr>
        <w:rPr>
          <w:rFonts w:hint="eastAsia" w:ascii="宋体" w:hAnsi="宋体" w:eastAsia="宋体" w:cs="宋体"/>
          <w:b/>
          <w:bCs/>
          <w:sz w:val="30"/>
          <w:szCs w:val="30"/>
          <w:lang w:val="en-US" w:eastAsia="zh-CN"/>
        </w:rPr>
      </w:pPr>
    </w:p>
    <w:p w14:paraId="744F699F">
      <w:pPr>
        <w:rPr>
          <w:rFonts w:hint="eastAsia" w:ascii="宋体" w:hAnsi="宋体" w:eastAsia="宋体" w:cs="宋体"/>
          <w:b/>
          <w:bCs/>
          <w:sz w:val="30"/>
          <w:szCs w:val="30"/>
          <w:lang w:val="en-US" w:eastAsia="zh-CN"/>
        </w:rPr>
      </w:pPr>
    </w:p>
    <w:p w14:paraId="2A39C562">
      <w:pPr>
        <w:spacing w:line="460" w:lineRule="exact"/>
        <w:jc w:val="center"/>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附录3  资格审查条件（信誉最低要求）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3"/>
      </w:tblGrid>
      <w:tr w14:paraId="21E8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4" w:hRule="atLeast"/>
          <w:jc w:val="center"/>
        </w:trPr>
        <w:tc>
          <w:tcPr>
            <w:tcW w:w="9003" w:type="dxa"/>
            <w:noWrap w:val="0"/>
            <w:vAlign w:val="center"/>
          </w:tcPr>
          <w:p w14:paraId="07232269">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信誉要求</w:t>
            </w:r>
          </w:p>
        </w:tc>
      </w:tr>
      <w:tr w14:paraId="4883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9003" w:type="dxa"/>
            <w:noWrap w:val="0"/>
            <w:vAlign w:val="center"/>
          </w:tcPr>
          <w:p w14:paraId="6B2BD72E">
            <w:pPr>
              <w:rPr>
                <w:rFonts w:hint="eastAsia" w:ascii="宋体" w:hAnsi="宋体" w:eastAsia="宋体" w:cs="宋体"/>
                <w:b/>
                <w:bCs/>
                <w:sz w:val="30"/>
                <w:szCs w:val="30"/>
                <w:lang w:val="en-US" w:eastAsia="zh-CN"/>
              </w:rPr>
            </w:pPr>
            <w:r>
              <w:rPr>
                <w:rFonts w:hint="eastAsia" w:ascii="Times New Roman" w:hAnsi="Times New Roman" w:eastAsia="宋体" w:cs="Times New Roman"/>
                <w:szCs w:val="21"/>
                <w:lang w:val="en-US" w:eastAsia="zh-CN"/>
              </w:rPr>
              <w:t>供应商在“中国执行信息公开网”网站（http://zxgk.court.gov.cn/shixin/）中未被列入失信被执行人名单，在国家企业信用信息公示系统（www.gsxt.gov.cn）中未被列入严重违法失信企业名单。</w:t>
            </w:r>
          </w:p>
        </w:tc>
      </w:tr>
    </w:tbl>
    <w:p w14:paraId="77313F04">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注：需在响应文件格式表3-3后附查询截图。</w:t>
      </w:r>
    </w:p>
    <w:p w14:paraId="7B081A5F">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br w:type="page"/>
      </w:r>
    </w:p>
    <w:p w14:paraId="71CF0E7B">
      <w:pPr>
        <w:spacing w:line="460" w:lineRule="exact"/>
        <w:jc w:val="center"/>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附录4 仪器清单</w:t>
      </w:r>
    </w:p>
    <w:tbl>
      <w:tblPr>
        <w:tblStyle w:val="6"/>
        <w:tblW w:w="51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685"/>
        <w:gridCol w:w="1786"/>
        <w:gridCol w:w="1020"/>
        <w:gridCol w:w="1166"/>
        <w:gridCol w:w="1516"/>
        <w:gridCol w:w="4112"/>
      </w:tblGrid>
      <w:tr w14:paraId="52FCFA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333" w:type="pct"/>
            <w:shd w:val="clear" w:color="auto" w:fill="D7D7D7"/>
            <w:noWrap w:val="0"/>
            <w:vAlign w:val="center"/>
          </w:tcPr>
          <w:p w14:paraId="6B3796C7">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center"/>
              <w:rPr>
                <w:rFonts w:ascii="Times New Roman" w:hAnsi="Times New Roman" w:eastAsia="宋体" w:cs="Times New Roman"/>
                <w:b/>
                <w:bCs w:val="0"/>
                <w:color w:val="auto"/>
                <w:spacing w:val="0"/>
                <w:kern w:val="0"/>
                <w:position w:val="0"/>
                <w:szCs w:val="21"/>
              </w:rPr>
            </w:pPr>
            <w:r>
              <w:rPr>
                <w:rFonts w:ascii="Times New Roman" w:hAnsi="Times New Roman" w:eastAsia="宋体" w:cs="Times New Roman"/>
                <w:b/>
                <w:bCs w:val="0"/>
                <w:color w:val="auto"/>
                <w:spacing w:val="0"/>
                <w:kern w:val="0"/>
                <w:position w:val="0"/>
                <w:szCs w:val="21"/>
                <w:lang w:bidi="ar"/>
              </w:rPr>
              <w:t>序号</w:t>
            </w:r>
          </w:p>
        </w:tc>
        <w:tc>
          <w:tcPr>
            <w:tcW w:w="868" w:type="pct"/>
            <w:shd w:val="clear" w:color="auto" w:fill="D7D7D7"/>
            <w:noWrap w:val="0"/>
            <w:vAlign w:val="center"/>
          </w:tcPr>
          <w:p w14:paraId="7D600BBE">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center"/>
              <w:rPr>
                <w:rFonts w:ascii="Times New Roman" w:hAnsi="Times New Roman" w:eastAsia="宋体" w:cs="Times New Roman"/>
                <w:b/>
                <w:bCs w:val="0"/>
                <w:color w:val="auto"/>
                <w:spacing w:val="0"/>
                <w:kern w:val="0"/>
                <w:position w:val="0"/>
                <w:szCs w:val="21"/>
              </w:rPr>
            </w:pPr>
            <w:r>
              <w:rPr>
                <w:rFonts w:ascii="Times New Roman" w:hAnsi="Times New Roman" w:eastAsia="宋体" w:cs="Times New Roman"/>
                <w:b/>
                <w:bCs w:val="0"/>
                <w:color w:val="auto"/>
                <w:spacing w:val="0"/>
                <w:kern w:val="0"/>
                <w:position w:val="0"/>
                <w:szCs w:val="21"/>
                <w:lang w:bidi="ar"/>
              </w:rPr>
              <w:t>仪器名称</w:t>
            </w:r>
          </w:p>
        </w:tc>
        <w:tc>
          <w:tcPr>
            <w:tcW w:w="495" w:type="pct"/>
            <w:shd w:val="clear" w:color="auto" w:fill="D7D7D7"/>
            <w:noWrap w:val="0"/>
            <w:vAlign w:val="center"/>
          </w:tcPr>
          <w:p w14:paraId="37B6AF14">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center"/>
              <w:rPr>
                <w:rFonts w:ascii="Times New Roman" w:hAnsi="Times New Roman" w:eastAsia="宋体" w:cs="Times New Roman"/>
                <w:b/>
                <w:bCs w:val="0"/>
                <w:color w:val="auto"/>
                <w:spacing w:val="0"/>
                <w:kern w:val="0"/>
                <w:position w:val="0"/>
                <w:szCs w:val="21"/>
                <w:lang w:bidi="ar"/>
              </w:rPr>
            </w:pPr>
            <w:r>
              <w:rPr>
                <w:rFonts w:ascii="Times New Roman" w:hAnsi="Times New Roman" w:eastAsia="宋体" w:cs="Times New Roman"/>
                <w:b/>
                <w:bCs w:val="0"/>
                <w:color w:val="auto"/>
                <w:spacing w:val="0"/>
                <w:kern w:val="0"/>
                <w:position w:val="0"/>
                <w:szCs w:val="21"/>
                <w:lang w:bidi="ar"/>
              </w:rPr>
              <w:t>数量</w:t>
            </w:r>
          </w:p>
          <w:p w14:paraId="4733270C">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center"/>
              <w:rPr>
                <w:rFonts w:ascii="Times New Roman" w:hAnsi="Times New Roman" w:eastAsia="宋体" w:cs="Times New Roman"/>
                <w:b/>
                <w:bCs w:val="0"/>
                <w:color w:val="auto"/>
                <w:spacing w:val="0"/>
                <w:kern w:val="0"/>
                <w:position w:val="0"/>
                <w:szCs w:val="21"/>
              </w:rPr>
            </w:pPr>
            <w:r>
              <w:rPr>
                <w:rFonts w:ascii="Times New Roman" w:hAnsi="Times New Roman" w:eastAsia="宋体" w:cs="Times New Roman"/>
                <w:b/>
                <w:bCs w:val="0"/>
                <w:color w:val="auto"/>
                <w:spacing w:val="0"/>
                <w:kern w:val="0"/>
                <w:position w:val="0"/>
                <w:szCs w:val="21"/>
                <w:lang w:bidi="ar"/>
              </w:rPr>
              <w:t>（台/套）</w:t>
            </w:r>
          </w:p>
        </w:tc>
        <w:tc>
          <w:tcPr>
            <w:tcW w:w="566" w:type="pct"/>
            <w:shd w:val="clear" w:color="auto" w:fill="D7D7D7"/>
            <w:noWrap w:val="0"/>
            <w:vAlign w:val="center"/>
          </w:tcPr>
          <w:p w14:paraId="2E18E18B">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center"/>
              <w:rPr>
                <w:rFonts w:hint="default" w:ascii="Times New Roman" w:hAnsi="Times New Roman" w:eastAsia="宋体" w:cs="Times New Roman"/>
                <w:b/>
                <w:bCs w:val="0"/>
                <w:color w:val="auto"/>
                <w:spacing w:val="0"/>
                <w:kern w:val="0"/>
                <w:position w:val="0"/>
                <w:szCs w:val="21"/>
                <w:lang w:val="en-US" w:eastAsia="zh-CN"/>
              </w:rPr>
            </w:pPr>
            <w:r>
              <w:rPr>
                <w:rFonts w:ascii="Times New Roman" w:hAnsi="Times New Roman" w:eastAsia="宋体" w:cs="Times New Roman"/>
                <w:b/>
                <w:bCs w:val="0"/>
                <w:color w:val="auto"/>
                <w:spacing w:val="0"/>
                <w:kern w:val="0"/>
                <w:position w:val="0"/>
                <w:szCs w:val="21"/>
                <w:lang w:bidi="ar"/>
              </w:rPr>
              <w:t>所用</w:t>
            </w:r>
            <w:r>
              <w:rPr>
                <w:rFonts w:hint="eastAsia" w:ascii="Times New Roman" w:hAnsi="Times New Roman" w:eastAsia="宋体" w:cs="Times New Roman"/>
                <w:b/>
                <w:bCs w:val="0"/>
                <w:color w:val="auto"/>
                <w:spacing w:val="0"/>
                <w:kern w:val="0"/>
                <w:position w:val="0"/>
                <w:szCs w:val="21"/>
                <w:lang w:val="en-US" w:eastAsia="zh-CN" w:bidi="ar"/>
              </w:rPr>
              <w:t>检测项目</w:t>
            </w:r>
          </w:p>
        </w:tc>
        <w:tc>
          <w:tcPr>
            <w:tcW w:w="736" w:type="pct"/>
            <w:shd w:val="clear" w:color="auto" w:fill="D7D7D7"/>
            <w:noWrap w:val="0"/>
            <w:vAlign w:val="center"/>
          </w:tcPr>
          <w:p w14:paraId="2F6BF1D0">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center"/>
              <w:rPr>
                <w:rFonts w:ascii="Times New Roman" w:hAnsi="Times New Roman" w:eastAsia="宋体" w:cs="Times New Roman"/>
                <w:b/>
                <w:bCs w:val="0"/>
                <w:color w:val="auto"/>
                <w:spacing w:val="0"/>
                <w:kern w:val="0"/>
                <w:position w:val="0"/>
                <w:szCs w:val="21"/>
                <w:lang w:bidi="ar"/>
              </w:rPr>
            </w:pPr>
            <w:r>
              <w:rPr>
                <w:rFonts w:ascii="Times New Roman" w:hAnsi="Times New Roman" w:eastAsia="宋体" w:cs="Times New Roman"/>
                <w:b/>
                <w:bCs w:val="0"/>
                <w:color w:val="auto"/>
                <w:spacing w:val="0"/>
                <w:kern w:val="0"/>
                <w:position w:val="0"/>
                <w:szCs w:val="21"/>
                <w:lang w:bidi="ar"/>
              </w:rPr>
              <w:t>所用参数名称</w:t>
            </w:r>
          </w:p>
        </w:tc>
        <w:tc>
          <w:tcPr>
            <w:tcW w:w="1999" w:type="pct"/>
            <w:shd w:val="clear" w:color="auto" w:fill="D7D7D7"/>
            <w:noWrap w:val="0"/>
            <w:vAlign w:val="center"/>
          </w:tcPr>
          <w:p w14:paraId="76E0B6C2">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center"/>
              <w:rPr>
                <w:rFonts w:ascii="Times New Roman" w:hAnsi="Times New Roman" w:eastAsia="宋体" w:cs="Times New Roman"/>
                <w:b/>
                <w:bCs w:val="0"/>
                <w:color w:val="auto"/>
                <w:spacing w:val="0"/>
                <w:kern w:val="0"/>
                <w:position w:val="0"/>
                <w:szCs w:val="21"/>
              </w:rPr>
            </w:pPr>
            <w:r>
              <w:rPr>
                <w:rFonts w:ascii="Times New Roman" w:hAnsi="Times New Roman" w:eastAsia="宋体" w:cs="Times New Roman"/>
                <w:b/>
                <w:bCs w:val="0"/>
                <w:color w:val="auto"/>
                <w:spacing w:val="0"/>
                <w:kern w:val="0"/>
                <w:position w:val="0"/>
                <w:szCs w:val="21"/>
                <w:lang w:bidi="ar"/>
              </w:rPr>
              <w:t>备注(配件数量要求、特殊要求，精度、量程等）</w:t>
            </w:r>
          </w:p>
        </w:tc>
      </w:tr>
      <w:tr w14:paraId="7AA4C4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502AD604">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1</w:t>
            </w:r>
          </w:p>
        </w:tc>
        <w:tc>
          <w:tcPr>
            <w:tcW w:w="868" w:type="pct"/>
            <w:noWrap w:val="0"/>
            <w:vAlign w:val="center"/>
          </w:tcPr>
          <w:p w14:paraId="67199DB1">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油压高速钻机（钻石机）</w:t>
            </w:r>
          </w:p>
        </w:tc>
        <w:tc>
          <w:tcPr>
            <w:tcW w:w="495" w:type="pct"/>
            <w:shd w:val="clear" w:color="auto" w:fill="auto"/>
            <w:noWrap/>
            <w:vAlign w:val="center"/>
          </w:tcPr>
          <w:p w14:paraId="4DE372C7">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noWrap w:val="0"/>
            <w:vAlign w:val="center"/>
          </w:tcPr>
          <w:p w14:paraId="7C69BD9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岩石</w:t>
            </w:r>
          </w:p>
        </w:tc>
        <w:tc>
          <w:tcPr>
            <w:tcW w:w="736" w:type="pct"/>
            <w:noWrap w:val="0"/>
            <w:vAlign w:val="center"/>
          </w:tcPr>
          <w:p w14:paraId="1BA3080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单轴抗压强度</w:t>
            </w:r>
          </w:p>
        </w:tc>
        <w:tc>
          <w:tcPr>
            <w:tcW w:w="1999" w:type="pct"/>
            <w:noWrap w:val="0"/>
            <w:vAlign w:val="center"/>
          </w:tcPr>
          <w:p w14:paraId="67F11996">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钻进深度：当终孔直径为 75mm 时，额定钻孔深度为 100m；当终孔直径为 46mm 时，额定钻孔深度为 180m，实际钻进深度不得超过各钻进深度的 110%。</w:t>
            </w:r>
            <w:r>
              <w:rPr>
                <w:rFonts w:hint="eastAsia" w:ascii="Times New Roman" w:hAnsi="Times New Roman" w:eastAsia="宋体" w:cs="Times New Roman"/>
                <w:i w:val="0"/>
                <w:iCs w:val="0"/>
                <w:color w:val="000000"/>
                <w:kern w:val="0"/>
                <w:sz w:val="21"/>
                <w:szCs w:val="21"/>
                <w:u w:val="none"/>
                <w:lang w:val="en-US" w:eastAsia="zh-CN" w:bidi="ar"/>
              </w:rPr>
              <w:br w:type="textWrapping"/>
            </w:r>
            <w:r>
              <w:rPr>
                <w:rFonts w:hint="eastAsia" w:ascii="Times New Roman" w:hAnsi="Times New Roman" w:eastAsia="宋体" w:cs="Times New Roman"/>
                <w:i w:val="0"/>
                <w:iCs w:val="0"/>
                <w:color w:val="000000"/>
                <w:kern w:val="0"/>
                <w:sz w:val="21"/>
                <w:szCs w:val="21"/>
                <w:u w:val="none"/>
                <w:lang w:val="en-US" w:eastAsia="zh-CN" w:bidi="ar"/>
              </w:rPr>
              <w:t>开孔与终孔直径：额定开孔直径为 110mm，开孔直径允许最大值为 150mm，终孔直径为 75-46mm。</w:t>
            </w:r>
            <w:r>
              <w:rPr>
                <w:rFonts w:hint="eastAsia" w:ascii="Times New Roman" w:hAnsi="Times New Roman" w:eastAsia="宋体" w:cs="Times New Roman"/>
                <w:i w:val="0"/>
                <w:iCs w:val="0"/>
                <w:color w:val="000000"/>
                <w:kern w:val="0"/>
                <w:sz w:val="21"/>
                <w:szCs w:val="21"/>
                <w:u w:val="none"/>
                <w:lang w:val="en-US" w:eastAsia="zh-CN" w:bidi="ar"/>
              </w:rPr>
              <w:br w:type="textWrapping"/>
            </w:r>
            <w:r>
              <w:rPr>
                <w:rFonts w:hint="eastAsia" w:ascii="Times New Roman" w:hAnsi="Times New Roman" w:eastAsia="宋体" w:cs="Times New Roman"/>
                <w:i w:val="0"/>
                <w:iCs w:val="0"/>
                <w:color w:val="000000"/>
                <w:kern w:val="0"/>
                <w:sz w:val="21"/>
                <w:szCs w:val="21"/>
                <w:u w:val="none"/>
                <w:lang w:val="en-US" w:eastAsia="zh-CN" w:bidi="ar"/>
              </w:rPr>
              <w:t>钻孔角度范围：钻孔角度范围为 75°-90°，可满足不同倾斜角度的钻孔需求。</w:t>
            </w:r>
            <w:r>
              <w:rPr>
                <w:rFonts w:hint="eastAsia" w:ascii="Times New Roman" w:hAnsi="Times New Roman" w:eastAsia="宋体" w:cs="Times New Roman"/>
                <w:i w:val="0"/>
                <w:iCs w:val="0"/>
                <w:color w:val="000000"/>
                <w:kern w:val="0"/>
                <w:sz w:val="21"/>
                <w:szCs w:val="21"/>
                <w:u w:val="none"/>
                <w:lang w:val="en-US" w:eastAsia="zh-CN" w:bidi="ar"/>
              </w:rPr>
              <w:br w:type="textWrapping"/>
            </w:r>
            <w:r>
              <w:rPr>
                <w:rFonts w:hint="eastAsia" w:ascii="Times New Roman" w:hAnsi="Times New Roman" w:eastAsia="宋体" w:cs="Times New Roman"/>
                <w:i w:val="0"/>
                <w:iCs w:val="0"/>
                <w:color w:val="000000"/>
                <w:kern w:val="0"/>
                <w:sz w:val="21"/>
                <w:szCs w:val="21"/>
                <w:u w:val="none"/>
                <w:lang w:val="en-US" w:eastAsia="zh-CN" w:bidi="ar"/>
              </w:rPr>
              <w:t>立轴转速：转速通常有多个档位，如 130、300、480、730、830、1045r/min 等</w:t>
            </w:r>
          </w:p>
        </w:tc>
      </w:tr>
      <w:tr w14:paraId="3A372A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20753C4D">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bCs/>
                <w:color w:val="auto"/>
                <w:spacing w:val="0"/>
                <w:kern w:val="0"/>
                <w:position w:val="0"/>
                <w:szCs w:val="21"/>
              </w:rPr>
            </w:pPr>
            <w:r>
              <w:rPr>
                <w:rFonts w:hint="eastAsia" w:ascii="Times New Roman" w:hAnsi="Times New Roman" w:eastAsia="宋体" w:cs="Times New Roman"/>
                <w:b w:val="0"/>
                <w:bCs/>
                <w:color w:val="auto"/>
                <w:spacing w:val="0"/>
                <w:kern w:val="0"/>
                <w:position w:val="0"/>
                <w:sz w:val="21"/>
                <w:szCs w:val="21"/>
                <w:lang w:bidi="ar"/>
              </w:rPr>
              <w:t>2</w:t>
            </w:r>
          </w:p>
        </w:tc>
        <w:tc>
          <w:tcPr>
            <w:tcW w:w="868" w:type="pct"/>
            <w:noWrap w:val="0"/>
            <w:vAlign w:val="center"/>
          </w:tcPr>
          <w:p w14:paraId="3014554D">
            <w:pPr>
              <w:keepNext w:val="0"/>
              <w:keepLines w:val="0"/>
              <w:widowControl/>
              <w:suppressLineNumbers w:val="0"/>
              <w:jc w:val="center"/>
              <w:textAlignment w:val="center"/>
              <w:rPr>
                <w:rFonts w:hint="eastAsia" w:ascii="Times New Roman" w:hAnsi="Times New Roman" w:eastAsia="宋体" w:cs="Times New Roman"/>
                <w:b w:val="0"/>
                <w:bCs/>
                <w:color w:val="auto"/>
                <w:spacing w:val="0"/>
                <w:kern w:val="0"/>
                <w:position w:val="0"/>
                <w:szCs w:val="21"/>
              </w:rPr>
            </w:pPr>
            <w:r>
              <w:rPr>
                <w:rFonts w:hint="eastAsia" w:ascii="Times New Roman" w:hAnsi="Times New Roman" w:eastAsia="宋体" w:cs="Times New Roman"/>
                <w:b w:val="0"/>
                <w:bCs/>
                <w:i w:val="0"/>
                <w:iCs w:val="0"/>
                <w:color w:val="auto"/>
                <w:kern w:val="0"/>
                <w:sz w:val="21"/>
                <w:szCs w:val="21"/>
                <w:u w:val="none"/>
                <w:lang w:val="en-US" w:eastAsia="zh-CN" w:bidi="ar"/>
              </w:rPr>
              <w:t>锯石机</w:t>
            </w:r>
          </w:p>
        </w:tc>
        <w:tc>
          <w:tcPr>
            <w:tcW w:w="495" w:type="pct"/>
            <w:shd w:val="clear" w:color="auto" w:fill="auto"/>
            <w:noWrap/>
            <w:vAlign w:val="center"/>
          </w:tcPr>
          <w:p w14:paraId="7B03B006">
            <w:pPr>
              <w:keepNext w:val="0"/>
              <w:keepLines w:val="0"/>
              <w:widowControl/>
              <w:suppressLineNumbers w:val="0"/>
              <w:jc w:val="center"/>
              <w:textAlignment w:val="center"/>
              <w:rPr>
                <w:rFonts w:hint="eastAsia" w:ascii="Times New Roman" w:hAnsi="Times New Roman" w:eastAsia="宋体" w:cs="Times New Roman"/>
                <w:b w:val="0"/>
                <w:bCs w:val="0"/>
                <w:i w:val="0"/>
                <w:iCs w:val="0"/>
                <w:color w:val="auto"/>
                <w:kern w:val="2"/>
                <w:sz w:val="21"/>
                <w:szCs w:val="21"/>
                <w:u w:val="none"/>
                <w:lang w:val="en-US" w:eastAsia="zh-CN" w:bidi="ar-SA"/>
              </w:rPr>
            </w:pPr>
            <w:r>
              <w:rPr>
                <w:rFonts w:hint="eastAsia" w:ascii="Times New Roman" w:hAnsi="Times New Roman" w:eastAsia="宋体" w:cs="Times New Roman"/>
                <w:b w:val="0"/>
                <w:bCs w:val="0"/>
                <w:i w:val="0"/>
                <w:iCs w:val="0"/>
                <w:color w:val="auto"/>
                <w:kern w:val="0"/>
                <w:sz w:val="21"/>
                <w:szCs w:val="21"/>
                <w:u w:val="none"/>
                <w:lang w:val="en-US" w:eastAsia="zh-CN" w:bidi="ar"/>
              </w:rPr>
              <w:t>1</w:t>
            </w:r>
          </w:p>
        </w:tc>
        <w:tc>
          <w:tcPr>
            <w:tcW w:w="566" w:type="pct"/>
            <w:noWrap w:val="0"/>
            <w:vAlign w:val="center"/>
          </w:tcPr>
          <w:p w14:paraId="56F48EC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auto"/>
                <w:spacing w:val="0"/>
                <w:kern w:val="0"/>
                <w:position w:val="0"/>
                <w:sz w:val="21"/>
                <w:szCs w:val="21"/>
                <w:lang w:val="en-US" w:eastAsia="zh-CN" w:bidi="ar"/>
              </w:rPr>
            </w:pPr>
            <w:r>
              <w:rPr>
                <w:rFonts w:hint="eastAsia" w:ascii="Times New Roman" w:hAnsi="Times New Roman" w:eastAsia="宋体" w:cs="Times New Roman"/>
                <w:b w:val="0"/>
                <w:bCs/>
                <w:color w:val="auto"/>
                <w:kern w:val="0"/>
                <w:sz w:val="21"/>
                <w:szCs w:val="21"/>
                <w:lang w:bidi="ar"/>
              </w:rPr>
              <w:t>岩石</w:t>
            </w:r>
          </w:p>
        </w:tc>
        <w:tc>
          <w:tcPr>
            <w:tcW w:w="736" w:type="pct"/>
            <w:noWrap w:val="0"/>
            <w:vAlign w:val="center"/>
          </w:tcPr>
          <w:p w14:paraId="7291589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auto"/>
                <w:spacing w:val="0"/>
                <w:kern w:val="0"/>
                <w:position w:val="0"/>
                <w:sz w:val="21"/>
                <w:szCs w:val="21"/>
                <w:lang w:val="en-US" w:eastAsia="zh-CN" w:bidi="ar"/>
              </w:rPr>
            </w:pPr>
            <w:r>
              <w:rPr>
                <w:rFonts w:hint="eastAsia" w:ascii="Times New Roman" w:hAnsi="Times New Roman" w:eastAsia="宋体" w:cs="Times New Roman"/>
                <w:b w:val="0"/>
                <w:bCs/>
                <w:color w:val="auto"/>
                <w:kern w:val="0"/>
                <w:sz w:val="21"/>
                <w:szCs w:val="21"/>
                <w:lang w:bidi="ar"/>
              </w:rPr>
              <w:t>单轴抗压强度</w:t>
            </w:r>
          </w:p>
        </w:tc>
        <w:tc>
          <w:tcPr>
            <w:tcW w:w="1999" w:type="pct"/>
            <w:noWrap w:val="0"/>
            <w:vAlign w:val="center"/>
          </w:tcPr>
          <w:p w14:paraId="2FE9F2E7">
            <w:pPr>
              <w:keepNext w:val="0"/>
              <w:keepLines w:val="0"/>
              <w:widowControl/>
              <w:suppressLineNumbers w:val="0"/>
              <w:jc w:val="center"/>
              <w:textAlignment w:val="center"/>
              <w:rPr>
                <w:rFonts w:hint="eastAsia" w:ascii="Times New Roman" w:hAnsi="Times New Roman" w:eastAsia="宋体" w:cs="Times New Roman"/>
                <w:b w:val="0"/>
                <w:bCs/>
                <w:color w:val="auto"/>
                <w:spacing w:val="0"/>
                <w:kern w:val="0"/>
                <w:position w:val="0"/>
                <w:sz w:val="21"/>
                <w:szCs w:val="21"/>
                <w:lang w:val="en-US" w:eastAsia="zh-CN" w:bidi="ar"/>
              </w:rPr>
            </w:pPr>
            <w:r>
              <w:rPr>
                <w:rFonts w:hint="eastAsia" w:ascii="Times New Roman" w:hAnsi="Times New Roman" w:eastAsia="宋体" w:cs="Times New Roman"/>
                <w:b w:val="0"/>
                <w:bCs/>
                <w:i w:val="0"/>
                <w:iCs w:val="0"/>
                <w:color w:val="auto"/>
                <w:kern w:val="0"/>
                <w:sz w:val="21"/>
                <w:szCs w:val="21"/>
                <w:u w:val="none"/>
                <w:lang w:val="en-US" w:eastAsia="zh-CN" w:bidi="ar"/>
              </w:rPr>
              <w:t>满足《水运工程地基基础试验检测技术规程》JTS 237-2017要求</w:t>
            </w:r>
          </w:p>
        </w:tc>
      </w:tr>
      <w:tr w14:paraId="788577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3988EC08">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3</w:t>
            </w:r>
          </w:p>
        </w:tc>
        <w:tc>
          <w:tcPr>
            <w:tcW w:w="868" w:type="pct"/>
            <w:noWrap w:val="0"/>
            <w:vAlign w:val="center"/>
          </w:tcPr>
          <w:p w14:paraId="0166E535">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砂轮机</w:t>
            </w:r>
          </w:p>
        </w:tc>
        <w:tc>
          <w:tcPr>
            <w:tcW w:w="495" w:type="pct"/>
            <w:shd w:val="clear" w:color="auto" w:fill="auto"/>
            <w:noWrap/>
            <w:vAlign w:val="center"/>
          </w:tcPr>
          <w:p w14:paraId="461A1D83">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noWrap w:val="0"/>
            <w:vAlign w:val="center"/>
          </w:tcPr>
          <w:p w14:paraId="4BF2B63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岩石</w:t>
            </w:r>
          </w:p>
        </w:tc>
        <w:tc>
          <w:tcPr>
            <w:tcW w:w="736" w:type="pct"/>
            <w:noWrap w:val="0"/>
            <w:vAlign w:val="center"/>
          </w:tcPr>
          <w:p w14:paraId="7D6B908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单轴抗压强度</w:t>
            </w:r>
          </w:p>
        </w:tc>
        <w:tc>
          <w:tcPr>
            <w:tcW w:w="1999" w:type="pct"/>
            <w:noWrap w:val="0"/>
            <w:vAlign w:val="center"/>
          </w:tcPr>
          <w:p w14:paraId="418859CF">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额定功率710W\空载转速12000rpm\主轴直径M10\盘片直径100mm</w:t>
            </w:r>
          </w:p>
        </w:tc>
      </w:tr>
      <w:tr w14:paraId="7C1DEF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2E592322">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4</w:t>
            </w:r>
          </w:p>
        </w:tc>
        <w:tc>
          <w:tcPr>
            <w:tcW w:w="868" w:type="pct"/>
            <w:noWrap w:val="0"/>
            <w:vAlign w:val="center"/>
          </w:tcPr>
          <w:p w14:paraId="02C259B3">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砖用卡尺</w:t>
            </w:r>
          </w:p>
        </w:tc>
        <w:tc>
          <w:tcPr>
            <w:tcW w:w="495" w:type="pct"/>
            <w:shd w:val="clear" w:color="auto" w:fill="auto"/>
            <w:noWrap/>
            <w:vAlign w:val="center"/>
          </w:tcPr>
          <w:p w14:paraId="59F5119C">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noWrap w:val="0"/>
            <w:vAlign w:val="center"/>
          </w:tcPr>
          <w:p w14:paraId="4ADBC6B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砖</w:t>
            </w:r>
          </w:p>
        </w:tc>
        <w:tc>
          <w:tcPr>
            <w:tcW w:w="736" w:type="pct"/>
            <w:noWrap w:val="0"/>
            <w:vAlign w:val="center"/>
          </w:tcPr>
          <w:p w14:paraId="0334ACA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尺寸偏差</w:t>
            </w:r>
          </w:p>
        </w:tc>
        <w:tc>
          <w:tcPr>
            <w:tcW w:w="1999" w:type="pct"/>
            <w:noWrap w:val="0"/>
            <w:vAlign w:val="center"/>
          </w:tcPr>
          <w:p w14:paraId="27E12772">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（0-250mm）</w:t>
            </w:r>
          </w:p>
        </w:tc>
      </w:tr>
      <w:tr w14:paraId="62AFBA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4FC07183">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5</w:t>
            </w:r>
          </w:p>
        </w:tc>
        <w:tc>
          <w:tcPr>
            <w:tcW w:w="868" w:type="pct"/>
            <w:noWrap w:val="0"/>
            <w:vAlign w:val="center"/>
          </w:tcPr>
          <w:p w14:paraId="033531B6">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油浴锅</w:t>
            </w:r>
          </w:p>
        </w:tc>
        <w:tc>
          <w:tcPr>
            <w:tcW w:w="495" w:type="pct"/>
            <w:shd w:val="clear" w:color="auto" w:fill="auto"/>
            <w:noWrap/>
            <w:vAlign w:val="center"/>
          </w:tcPr>
          <w:p w14:paraId="15FED38D">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noWrap w:val="0"/>
            <w:vAlign w:val="center"/>
          </w:tcPr>
          <w:p w14:paraId="5B4B1C8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土</w:t>
            </w:r>
          </w:p>
        </w:tc>
        <w:tc>
          <w:tcPr>
            <w:tcW w:w="736" w:type="pct"/>
            <w:noWrap w:val="0"/>
            <w:vAlign w:val="center"/>
          </w:tcPr>
          <w:p w14:paraId="43AF6A8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有机质含量</w:t>
            </w:r>
          </w:p>
        </w:tc>
        <w:tc>
          <w:tcPr>
            <w:tcW w:w="1999" w:type="pct"/>
            <w:noWrap w:val="0"/>
            <w:vAlign w:val="center"/>
          </w:tcPr>
          <w:p w14:paraId="3CA86885">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带铁丝笼，满足JTG3430-2020要求</w:t>
            </w:r>
          </w:p>
        </w:tc>
      </w:tr>
      <w:tr w14:paraId="32E177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5C8EEDFD">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6</w:t>
            </w:r>
          </w:p>
        </w:tc>
        <w:tc>
          <w:tcPr>
            <w:tcW w:w="868" w:type="pct"/>
            <w:noWrap w:val="0"/>
            <w:vAlign w:val="center"/>
          </w:tcPr>
          <w:p w14:paraId="5D75BD9A">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混凝土芯样补平器</w:t>
            </w:r>
          </w:p>
        </w:tc>
        <w:tc>
          <w:tcPr>
            <w:tcW w:w="495" w:type="pct"/>
            <w:shd w:val="clear" w:color="auto" w:fill="auto"/>
            <w:noWrap/>
            <w:vAlign w:val="center"/>
          </w:tcPr>
          <w:p w14:paraId="7F421C53">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noWrap w:val="0"/>
            <w:vAlign w:val="center"/>
          </w:tcPr>
          <w:p w14:paraId="07239E0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桥梁结构与构件</w:t>
            </w:r>
          </w:p>
        </w:tc>
        <w:tc>
          <w:tcPr>
            <w:tcW w:w="736" w:type="pct"/>
            <w:noWrap w:val="0"/>
            <w:vAlign w:val="center"/>
          </w:tcPr>
          <w:p w14:paraId="7030D72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混凝土强度（钻芯法、回弹-钻芯综合法）</w:t>
            </w:r>
          </w:p>
        </w:tc>
        <w:tc>
          <w:tcPr>
            <w:tcW w:w="1999" w:type="pct"/>
            <w:noWrap w:val="0"/>
            <w:vAlign w:val="center"/>
          </w:tcPr>
          <w:p w14:paraId="480629F7">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采用手动升降装置、可对50mm、75mm、100mm芯样精确补平，可轻松解决混凝土芯样在切割时候端面不平整问题、含50、75、100mm夹具各1个</w:t>
            </w:r>
          </w:p>
        </w:tc>
      </w:tr>
      <w:tr w14:paraId="37AB3F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008484EE">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7</w:t>
            </w:r>
          </w:p>
        </w:tc>
        <w:tc>
          <w:tcPr>
            <w:tcW w:w="868" w:type="pct"/>
            <w:noWrap w:val="0"/>
            <w:vAlign w:val="center"/>
          </w:tcPr>
          <w:p w14:paraId="60EDF9E3">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研磨机</w:t>
            </w:r>
          </w:p>
        </w:tc>
        <w:tc>
          <w:tcPr>
            <w:tcW w:w="495" w:type="pct"/>
            <w:shd w:val="clear" w:color="auto" w:fill="auto"/>
            <w:noWrap/>
            <w:vAlign w:val="center"/>
          </w:tcPr>
          <w:p w14:paraId="2E18DB4D">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noWrap w:val="0"/>
            <w:vAlign w:val="center"/>
          </w:tcPr>
          <w:p w14:paraId="76D52F0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桥梁结构与构件</w:t>
            </w:r>
          </w:p>
        </w:tc>
        <w:tc>
          <w:tcPr>
            <w:tcW w:w="736" w:type="pct"/>
            <w:noWrap w:val="0"/>
            <w:vAlign w:val="center"/>
          </w:tcPr>
          <w:p w14:paraId="02E2287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氯离子含量</w:t>
            </w:r>
          </w:p>
        </w:tc>
        <w:tc>
          <w:tcPr>
            <w:tcW w:w="1999" w:type="pct"/>
            <w:noWrap w:val="0"/>
            <w:vAlign w:val="center"/>
          </w:tcPr>
          <w:p w14:paraId="6058F3C9">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样品研磨后能过0.16mm的筛，摇摆式，设计容量为 300 克；进料粒度:≤20(mm)；出料粒度:30-300(mm)；</w:t>
            </w:r>
          </w:p>
        </w:tc>
      </w:tr>
      <w:tr w14:paraId="587428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63234848">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8</w:t>
            </w:r>
          </w:p>
        </w:tc>
        <w:tc>
          <w:tcPr>
            <w:tcW w:w="868" w:type="pct"/>
            <w:noWrap w:val="0"/>
            <w:vAlign w:val="center"/>
          </w:tcPr>
          <w:p w14:paraId="28C1DBC2">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萃取器</w:t>
            </w:r>
          </w:p>
        </w:tc>
        <w:tc>
          <w:tcPr>
            <w:tcW w:w="495" w:type="pct"/>
            <w:shd w:val="clear" w:color="auto" w:fill="auto"/>
            <w:noWrap/>
            <w:vAlign w:val="center"/>
          </w:tcPr>
          <w:p w14:paraId="0FFD8229">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noWrap w:val="0"/>
            <w:vAlign w:val="center"/>
          </w:tcPr>
          <w:p w14:paraId="3DC305D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防水材料及防水密封材料（防水卷材）</w:t>
            </w:r>
          </w:p>
        </w:tc>
        <w:tc>
          <w:tcPr>
            <w:tcW w:w="736" w:type="pct"/>
            <w:noWrap w:val="0"/>
            <w:vAlign w:val="center"/>
          </w:tcPr>
          <w:p w14:paraId="539A2FC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防水卷材：可溶物含量</w:t>
            </w:r>
          </w:p>
        </w:tc>
        <w:tc>
          <w:tcPr>
            <w:tcW w:w="1999" w:type="pct"/>
            <w:noWrap/>
            <w:vAlign w:val="center"/>
          </w:tcPr>
          <w:p w14:paraId="10493717">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蛇形脂肪抽出器（500mL）</w:t>
            </w:r>
          </w:p>
        </w:tc>
      </w:tr>
      <w:tr w14:paraId="7885AF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15AEE5F5">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9</w:t>
            </w:r>
          </w:p>
        </w:tc>
        <w:tc>
          <w:tcPr>
            <w:tcW w:w="868" w:type="pct"/>
            <w:noWrap w:val="0"/>
            <w:vAlign w:val="center"/>
          </w:tcPr>
          <w:p w14:paraId="15571859">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气相色谱仪</w:t>
            </w:r>
          </w:p>
        </w:tc>
        <w:tc>
          <w:tcPr>
            <w:tcW w:w="495" w:type="pct"/>
            <w:shd w:val="clear" w:color="auto" w:fill="auto"/>
            <w:noWrap/>
            <w:vAlign w:val="center"/>
          </w:tcPr>
          <w:p w14:paraId="4F8667D0">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noWrap w:val="0"/>
            <w:vAlign w:val="center"/>
          </w:tcPr>
          <w:p w14:paraId="4C7F3BE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防水材料及防水密封材料（防水涂料）</w:t>
            </w:r>
          </w:p>
        </w:tc>
        <w:tc>
          <w:tcPr>
            <w:tcW w:w="736" w:type="pct"/>
            <w:noWrap w:val="0"/>
            <w:vAlign w:val="center"/>
          </w:tcPr>
          <w:p w14:paraId="62B5F2D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防水涂料：固体含量</w:t>
            </w:r>
          </w:p>
        </w:tc>
        <w:tc>
          <w:tcPr>
            <w:tcW w:w="1999" w:type="pct"/>
            <w:noWrap w:val="0"/>
            <w:vAlign w:val="center"/>
          </w:tcPr>
          <w:p w14:paraId="7B1AB771">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GB/T 19250-2013聚氨酯防水涂料 P6页  6.5.2条款和 GB 18582-2020要求  </w:t>
            </w:r>
          </w:p>
        </w:tc>
      </w:tr>
      <w:tr w14:paraId="1EEE2B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7D67567E">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10</w:t>
            </w:r>
          </w:p>
        </w:tc>
        <w:tc>
          <w:tcPr>
            <w:tcW w:w="868" w:type="pct"/>
            <w:noWrap w:val="0"/>
            <w:vAlign w:val="center"/>
          </w:tcPr>
          <w:p w14:paraId="12522317">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路面砖抗折试验机</w:t>
            </w:r>
          </w:p>
        </w:tc>
        <w:tc>
          <w:tcPr>
            <w:tcW w:w="495" w:type="pct"/>
            <w:shd w:val="clear" w:color="auto" w:fill="auto"/>
            <w:noWrap/>
            <w:vAlign w:val="center"/>
          </w:tcPr>
          <w:p w14:paraId="52972C62">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noWrap w:val="0"/>
            <w:vAlign w:val="center"/>
          </w:tcPr>
          <w:p w14:paraId="689B216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路面砖/路缘石</w:t>
            </w:r>
          </w:p>
        </w:tc>
        <w:tc>
          <w:tcPr>
            <w:tcW w:w="736" w:type="pct"/>
            <w:noWrap w:val="0"/>
            <w:vAlign w:val="center"/>
          </w:tcPr>
          <w:p w14:paraId="597618C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抗折试验</w:t>
            </w:r>
          </w:p>
        </w:tc>
        <w:tc>
          <w:tcPr>
            <w:tcW w:w="1999" w:type="pct"/>
            <w:noWrap w:val="0"/>
            <w:vAlign w:val="center"/>
          </w:tcPr>
          <w:p w14:paraId="22270668">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满足GBT 32987-2016规范混凝土路面砖性能试验方法 10 技术要求，试验精度不大于±1%，支撑棒和加压棒为 直径25mm~40mm的钢棒，其中一个支撑棒可滚动并可自由调整水平</w:t>
            </w:r>
          </w:p>
        </w:tc>
      </w:tr>
      <w:tr w14:paraId="3F2EA5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2B522D25">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11</w:t>
            </w:r>
          </w:p>
        </w:tc>
        <w:tc>
          <w:tcPr>
            <w:tcW w:w="868" w:type="pct"/>
            <w:noWrap w:val="0"/>
            <w:vAlign w:val="center"/>
          </w:tcPr>
          <w:p w14:paraId="0EE3982D">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抗折夹具</w:t>
            </w:r>
          </w:p>
        </w:tc>
        <w:tc>
          <w:tcPr>
            <w:tcW w:w="495" w:type="pct"/>
            <w:shd w:val="clear" w:color="auto" w:fill="auto"/>
            <w:noWrap/>
            <w:vAlign w:val="center"/>
          </w:tcPr>
          <w:p w14:paraId="67913382">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noWrap w:val="0"/>
            <w:vAlign w:val="center"/>
          </w:tcPr>
          <w:p w14:paraId="14E453B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路面砖/路缘石</w:t>
            </w:r>
          </w:p>
        </w:tc>
        <w:tc>
          <w:tcPr>
            <w:tcW w:w="736" w:type="pct"/>
            <w:noWrap w:val="0"/>
            <w:vAlign w:val="center"/>
          </w:tcPr>
          <w:p w14:paraId="471139B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抗折试验</w:t>
            </w:r>
          </w:p>
        </w:tc>
        <w:tc>
          <w:tcPr>
            <w:tcW w:w="1999" w:type="pct"/>
            <w:noWrap w:val="0"/>
            <w:vAlign w:val="center"/>
          </w:tcPr>
          <w:p w14:paraId="7BBC4EE5">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符合JC／T 899-2016 混凝土路缘石附录B技术要求，含加载压块、抗折试验支撑装置、找平垫板</w:t>
            </w:r>
          </w:p>
        </w:tc>
      </w:tr>
      <w:tr w14:paraId="183866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035C2573">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12</w:t>
            </w:r>
          </w:p>
        </w:tc>
        <w:tc>
          <w:tcPr>
            <w:tcW w:w="868" w:type="pct"/>
            <w:noWrap w:val="0"/>
            <w:vAlign w:val="center"/>
          </w:tcPr>
          <w:p w14:paraId="714BA16E">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钢板(440mmX240mm,厚度310mm)</w:t>
            </w:r>
          </w:p>
        </w:tc>
        <w:tc>
          <w:tcPr>
            <w:tcW w:w="495" w:type="pct"/>
            <w:shd w:val="clear" w:color="auto" w:fill="auto"/>
            <w:noWrap/>
            <w:vAlign w:val="center"/>
          </w:tcPr>
          <w:p w14:paraId="6E3C208B">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noWrap w:val="0"/>
            <w:vAlign w:val="center"/>
          </w:tcPr>
          <w:p w14:paraId="39F1A4B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检查井盖、水篦、混凝土模块、防撞墩、隔离墩</w:t>
            </w:r>
          </w:p>
        </w:tc>
        <w:tc>
          <w:tcPr>
            <w:tcW w:w="736" w:type="pct"/>
            <w:noWrap w:val="0"/>
            <w:vAlign w:val="center"/>
          </w:tcPr>
          <w:p w14:paraId="2EE0D5C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抗压强度</w:t>
            </w:r>
          </w:p>
        </w:tc>
        <w:tc>
          <w:tcPr>
            <w:tcW w:w="1999" w:type="pct"/>
            <w:noWrap w:val="0"/>
            <w:vAlign w:val="center"/>
          </w:tcPr>
          <w:p w14:paraId="02F6FB1F">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440mmX240mm,厚度310mm</w:t>
            </w:r>
          </w:p>
        </w:tc>
      </w:tr>
      <w:tr w14:paraId="2D0E9B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1D315D96">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13</w:t>
            </w:r>
          </w:p>
        </w:tc>
        <w:tc>
          <w:tcPr>
            <w:tcW w:w="868" w:type="pct"/>
            <w:noWrap w:val="0"/>
            <w:vAlign w:val="center"/>
          </w:tcPr>
          <w:p w14:paraId="6729BF59">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玻璃平板(440mmx240mm，厚度≥6mm）</w:t>
            </w:r>
          </w:p>
        </w:tc>
        <w:tc>
          <w:tcPr>
            <w:tcW w:w="495" w:type="pct"/>
            <w:shd w:val="clear" w:color="auto" w:fill="auto"/>
            <w:noWrap/>
            <w:vAlign w:val="center"/>
          </w:tcPr>
          <w:p w14:paraId="6D946C53">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noWrap w:val="0"/>
            <w:vAlign w:val="center"/>
          </w:tcPr>
          <w:p w14:paraId="057FD17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检查井盖、水篦、混凝土模块、防撞墩、隔离墩</w:t>
            </w:r>
          </w:p>
        </w:tc>
        <w:tc>
          <w:tcPr>
            <w:tcW w:w="736" w:type="pct"/>
            <w:noWrap w:val="0"/>
            <w:vAlign w:val="center"/>
          </w:tcPr>
          <w:p w14:paraId="2119BAB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抗压强度</w:t>
            </w:r>
          </w:p>
        </w:tc>
        <w:tc>
          <w:tcPr>
            <w:tcW w:w="1999" w:type="pct"/>
            <w:noWrap w:val="0"/>
            <w:vAlign w:val="center"/>
          </w:tcPr>
          <w:p w14:paraId="693FACCC">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440mmx240mm，厚度≥6mm</w:t>
            </w:r>
          </w:p>
        </w:tc>
      </w:tr>
      <w:tr w14:paraId="572748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14ED938A">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14</w:t>
            </w:r>
          </w:p>
        </w:tc>
        <w:tc>
          <w:tcPr>
            <w:tcW w:w="868" w:type="pct"/>
            <w:noWrap w:val="0"/>
            <w:vAlign w:val="center"/>
          </w:tcPr>
          <w:p w14:paraId="7FACBBC1">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水平仪</w:t>
            </w:r>
          </w:p>
        </w:tc>
        <w:tc>
          <w:tcPr>
            <w:tcW w:w="495" w:type="pct"/>
            <w:shd w:val="clear" w:color="auto" w:fill="auto"/>
            <w:noWrap/>
            <w:vAlign w:val="center"/>
          </w:tcPr>
          <w:p w14:paraId="6DB16C8E">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noWrap w:val="0"/>
            <w:vAlign w:val="center"/>
          </w:tcPr>
          <w:p w14:paraId="1BDEFC2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检查井盖、水篦、混凝土模块、防撞墩、隔离墩</w:t>
            </w:r>
          </w:p>
        </w:tc>
        <w:tc>
          <w:tcPr>
            <w:tcW w:w="736" w:type="pct"/>
            <w:noWrap w:val="0"/>
            <w:vAlign w:val="center"/>
          </w:tcPr>
          <w:p w14:paraId="52414F0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抗压强度</w:t>
            </w:r>
          </w:p>
        </w:tc>
        <w:tc>
          <w:tcPr>
            <w:tcW w:w="1999" w:type="pct"/>
            <w:noWrap w:val="0"/>
            <w:vAlign w:val="center"/>
          </w:tcPr>
          <w:p w14:paraId="1C34139E">
            <w:pPr>
              <w:keepNext w:val="0"/>
              <w:keepLines w:val="0"/>
              <w:widowControl/>
              <w:suppressLineNumbers w:val="0"/>
              <w:jc w:val="center"/>
              <w:textAlignment w:val="center"/>
              <w:rPr>
                <w:rFonts w:hint="default"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规格250mm~500mm</w:t>
            </w:r>
          </w:p>
        </w:tc>
      </w:tr>
      <w:tr w14:paraId="731F98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1A2E7058">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15</w:t>
            </w:r>
          </w:p>
        </w:tc>
        <w:tc>
          <w:tcPr>
            <w:tcW w:w="868" w:type="pct"/>
            <w:noWrap w:val="0"/>
            <w:vAlign w:val="center"/>
          </w:tcPr>
          <w:p w14:paraId="1395B723">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直角靠尺</w:t>
            </w:r>
          </w:p>
        </w:tc>
        <w:tc>
          <w:tcPr>
            <w:tcW w:w="495" w:type="pct"/>
            <w:shd w:val="clear" w:color="auto" w:fill="auto"/>
            <w:noWrap/>
            <w:vAlign w:val="center"/>
          </w:tcPr>
          <w:p w14:paraId="32D760F0">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noWrap w:val="0"/>
            <w:vAlign w:val="center"/>
          </w:tcPr>
          <w:p w14:paraId="058887A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检查井盖、水篦、混凝土模块、防撞墩、隔离墩</w:t>
            </w:r>
          </w:p>
        </w:tc>
        <w:tc>
          <w:tcPr>
            <w:tcW w:w="736" w:type="pct"/>
            <w:noWrap w:val="0"/>
            <w:vAlign w:val="center"/>
          </w:tcPr>
          <w:p w14:paraId="18DEE6A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抗压强度</w:t>
            </w:r>
          </w:p>
        </w:tc>
        <w:tc>
          <w:tcPr>
            <w:tcW w:w="1999" w:type="pct"/>
            <w:noWrap w:val="0"/>
            <w:vAlign w:val="center"/>
          </w:tcPr>
          <w:p w14:paraId="51AA3E9E">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应有一端长度不小于120mm，分度值应为lmm</w:t>
            </w:r>
          </w:p>
        </w:tc>
      </w:tr>
      <w:tr w14:paraId="1B3ACC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1E673864">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16</w:t>
            </w:r>
          </w:p>
        </w:tc>
        <w:tc>
          <w:tcPr>
            <w:tcW w:w="868" w:type="pct"/>
            <w:noWrap w:val="0"/>
            <w:vAlign w:val="center"/>
          </w:tcPr>
          <w:p w14:paraId="43207F61">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灌砂筒</w:t>
            </w:r>
          </w:p>
        </w:tc>
        <w:tc>
          <w:tcPr>
            <w:tcW w:w="495" w:type="pct"/>
            <w:shd w:val="clear" w:color="auto" w:fill="auto"/>
            <w:noWrap/>
            <w:vAlign w:val="center"/>
          </w:tcPr>
          <w:p w14:paraId="7FE1BE3E">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noWrap w:val="0"/>
            <w:vAlign w:val="center"/>
          </w:tcPr>
          <w:p w14:paraId="3776448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土</w:t>
            </w:r>
          </w:p>
        </w:tc>
        <w:tc>
          <w:tcPr>
            <w:tcW w:w="736" w:type="pct"/>
            <w:noWrap w:val="0"/>
            <w:vAlign w:val="center"/>
          </w:tcPr>
          <w:p w14:paraId="0E0CE12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原位密度（灌砂法）</w:t>
            </w:r>
          </w:p>
        </w:tc>
        <w:tc>
          <w:tcPr>
            <w:tcW w:w="1999" w:type="pct"/>
            <w:noWrap w:val="0"/>
            <w:vAlign w:val="center"/>
          </w:tcPr>
          <w:p w14:paraId="3C0EBD70">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符合GB/T50123-2019要求</w:t>
            </w:r>
          </w:p>
        </w:tc>
      </w:tr>
      <w:tr w14:paraId="3A3A98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7405D15D">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17</w:t>
            </w:r>
          </w:p>
        </w:tc>
        <w:tc>
          <w:tcPr>
            <w:tcW w:w="868" w:type="pct"/>
            <w:noWrap w:val="0"/>
            <w:vAlign w:val="center"/>
          </w:tcPr>
          <w:p w14:paraId="0E598219">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电位滴定仪</w:t>
            </w:r>
          </w:p>
        </w:tc>
        <w:tc>
          <w:tcPr>
            <w:tcW w:w="495" w:type="pct"/>
            <w:shd w:val="clear" w:color="auto" w:fill="auto"/>
            <w:noWrap/>
            <w:vAlign w:val="center"/>
          </w:tcPr>
          <w:p w14:paraId="4803183A">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noWrap w:val="0"/>
            <w:vAlign w:val="center"/>
          </w:tcPr>
          <w:p w14:paraId="2BE49DB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外加剂</w:t>
            </w:r>
          </w:p>
        </w:tc>
        <w:tc>
          <w:tcPr>
            <w:tcW w:w="736" w:type="pct"/>
            <w:noWrap w:val="0"/>
            <w:vAlign w:val="center"/>
          </w:tcPr>
          <w:p w14:paraId="067D69D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color w:val="000000"/>
                <w:kern w:val="0"/>
                <w:sz w:val="21"/>
                <w:szCs w:val="21"/>
                <w:lang w:bidi="ar"/>
              </w:rPr>
              <w:t>氯离子含量</w:t>
            </w:r>
          </w:p>
        </w:tc>
        <w:tc>
          <w:tcPr>
            <w:tcW w:w="1999" w:type="pct"/>
            <w:noWrap/>
            <w:vAlign w:val="center"/>
          </w:tcPr>
          <w:p w14:paraId="150C3F96">
            <w:pPr>
              <w:keepNext w:val="0"/>
              <w:keepLines w:val="0"/>
              <w:widowControl/>
              <w:suppressLineNumbers w:val="0"/>
              <w:jc w:val="center"/>
              <w:textAlignment w:val="center"/>
              <w:rPr>
                <w:rFonts w:hint="default"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符合《混凝土外加剂匀质性试验方法》GB/T8077-2023要求</w:t>
            </w:r>
          </w:p>
        </w:tc>
      </w:tr>
      <w:tr w14:paraId="25DD24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6C3FB9EC">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18</w:t>
            </w:r>
          </w:p>
        </w:tc>
        <w:tc>
          <w:tcPr>
            <w:tcW w:w="868" w:type="pct"/>
            <w:noWrap w:val="0"/>
            <w:vAlign w:val="center"/>
          </w:tcPr>
          <w:p w14:paraId="4ED28753">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 w:val="20"/>
                <w:szCs w:val="20"/>
              </w:rPr>
            </w:pPr>
            <w:r>
              <w:rPr>
                <w:rFonts w:hint="eastAsia" w:ascii="Times New Roman" w:hAnsi="Times New Roman" w:eastAsia="宋体" w:cs="Times New Roman"/>
                <w:i w:val="0"/>
                <w:iCs w:val="0"/>
                <w:color w:val="000000"/>
                <w:kern w:val="0"/>
                <w:sz w:val="21"/>
                <w:szCs w:val="21"/>
                <w:u w:val="none"/>
                <w:lang w:val="en-US" w:eastAsia="zh-CN" w:bidi="ar"/>
              </w:rPr>
              <w:t>一体式楼板测厚仪</w:t>
            </w:r>
          </w:p>
        </w:tc>
        <w:tc>
          <w:tcPr>
            <w:tcW w:w="495" w:type="pct"/>
            <w:shd w:val="clear" w:color="auto" w:fill="auto"/>
            <w:noWrap/>
            <w:vAlign w:val="center"/>
          </w:tcPr>
          <w:p w14:paraId="74BD377A">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shd w:val="clear" w:color="auto" w:fill="auto"/>
            <w:noWrap w:val="0"/>
            <w:vAlign w:val="center"/>
          </w:tcPr>
          <w:p w14:paraId="6726A89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eastAsia="zh-CN" w:bidi="ar"/>
              </w:rPr>
              <w:t>主体结构</w:t>
            </w:r>
          </w:p>
        </w:tc>
        <w:tc>
          <w:tcPr>
            <w:tcW w:w="736" w:type="pct"/>
            <w:shd w:val="clear" w:color="auto" w:fill="auto"/>
            <w:noWrap w:val="0"/>
            <w:vAlign w:val="center"/>
          </w:tcPr>
          <w:p w14:paraId="3AED1ED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eastAsia="zh-CN" w:bidi="ar"/>
              </w:rPr>
              <w:t>楼板厚度</w:t>
            </w:r>
          </w:p>
        </w:tc>
        <w:tc>
          <w:tcPr>
            <w:tcW w:w="1999" w:type="pct"/>
            <w:noWrap w:val="0"/>
            <w:vAlign w:val="center"/>
          </w:tcPr>
          <w:p w14:paraId="3C904680">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产品配置：检测仪主机、发射探头、对讲机、充电器、USB连接线、标准试块、延长杆、仪器手提箱。方向指示范围：X方向  0.2~1.5m，Y方向  0.2~1.2m。测量精度：20-350±1mm，351-600±2mm，601-900±3mm。实时定位，实时显示发射探头位置，通过方向指示实现快速定位；实时显示测量数值，自动锁定真实厚度；可存1000个构件或者22万测点；</w:t>
            </w:r>
          </w:p>
        </w:tc>
      </w:tr>
      <w:tr w14:paraId="3FD984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09CE8216">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19</w:t>
            </w:r>
          </w:p>
        </w:tc>
        <w:tc>
          <w:tcPr>
            <w:tcW w:w="868" w:type="pct"/>
            <w:noWrap w:val="0"/>
            <w:vAlign w:val="center"/>
          </w:tcPr>
          <w:p w14:paraId="6F62252F">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智能锚杆拉拔仪</w:t>
            </w:r>
          </w:p>
        </w:tc>
        <w:tc>
          <w:tcPr>
            <w:tcW w:w="495" w:type="pct"/>
            <w:shd w:val="clear" w:color="auto" w:fill="auto"/>
            <w:noWrap/>
            <w:vAlign w:val="center"/>
          </w:tcPr>
          <w:p w14:paraId="210C2585">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shd w:val="clear" w:color="auto" w:fill="auto"/>
            <w:noWrap w:val="0"/>
            <w:vAlign w:val="center"/>
          </w:tcPr>
          <w:p w14:paraId="37DB0E0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eastAsia="zh-CN" w:bidi="ar"/>
              </w:rPr>
              <w:t>主体结构</w:t>
            </w:r>
          </w:p>
        </w:tc>
        <w:tc>
          <w:tcPr>
            <w:tcW w:w="736" w:type="pct"/>
            <w:shd w:val="clear" w:color="auto" w:fill="auto"/>
            <w:noWrap w:val="0"/>
            <w:vAlign w:val="center"/>
          </w:tcPr>
          <w:p w14:paraId="571A110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eastAsia="zh-CN" w:bidi="ar"/>
              </w:rPr>
              <w:t>锚栓拉拔力</w:t>
            </w:r>
          </w:p>
        </w:tc>
        <w:tc>
          <w:tcPr>
            <w:tcW w:w="1999" w:type="pct"/>
            <w:noWrap w:val="0"/>
            <w:vAlign w:val="center"/>
          </w:tcPr>
          <w:p w14:paraId="6803F772">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含锚具和拉杆配件</w:t>
            </w:r>
          </w:p>
        </w:tc>
      </w:tr>
      <w:tr w14:paraId="35D7E0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527FED29">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20</w:t>
            </w:r>
          </w:p>
        </w:tc>
        <w:tc>
          <w:tcPr>
            <w:tcW w:w="868" w:type="pct"/>
            <w:noWrap/>
            <w:vAlign w:val="center"/>
          </w:tcPr>
          <w:p w14:paraId="42E2EFCF">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数字温度计</w:t>
            </w:r>
          </w:p>
        </w:tc>
        <w:tc>
          <w:tcPr>
            <w:tcW w:w="495" w:type="pct"/>
            <w:shd w:val="clear" w:color="auto" w:fill="auto"/>
            <w:noWrap/>
            <w:vAlign w:val="center"/>
          </w:tcPr>
          <w:p w14:paraId="4400C511">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2</w:t>
            </w:r>
          </w:p>
        </w:tc>
        <w:tc>
          <w:tcPr>
            <w:tcW w:w="566" w:type="pct"/>
            <w:shd w:val="clear" w:color="auto" w:fill="auto"/>
            <w:noWrap w:val="0"/>
            <w:vAlign w:val="center"/>
          </w:tcPr>
          <w:p w14:paraId="17F10C2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桥梁结构与构件</w:t>
            </w:r>
          </w:p>
        </w:tc>
        <w:tc>
          <w:tcPr>
            <w:tcW w:w="736" w:type="pct"/>
            <w:shd w:val="clear" w:color="auto" w:fill="auto"/>
            <w:noWrap w:val="0"/>
            <w:vAlign w:val="center"/>
          </w:tcPr>
          <w:p w14:paraId="6BC18DC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线形</w:t>
            </w:r>
          </w:p>
        </w:tc>
        <w:tc>
          <w:tcPr>
            <w:tcW w:w="1999" w:type="pct"/>
            <w:noWrap w:val="0"/>
            <w:vAlign w:val="center"/>
          </w:tcPr>
          <w:p w14:paraId="26A7D64C">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含NR-34A探头、带充电套装、分辨率1</w:t>
            </w:r>
            <w:r>
              <w:rPr>
                <w:rFonts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、准确度±0.3%+2</w:t>
            </w:r>
            <w:r>
              <w:rPr>
                <w:rFonts w:ascii="Times New Roman" w:hAnsi="Times New Roman" w:eastAsia="宋体" w:cs="Times New Roman"/>
                <w:i w:val="0"/>
                <w:iCs w:val="0"/>
                <w:color w:val="000000"/>
                <w:kern w:val="0"/>
                <w:sz w:val="21"/>
                <w:szCs w:val="21"/>
                <w:u w:val="none"/>
                <w:lang w:val="en-US" w:eastAsia="zh-CN" w:bidi="ar"/>
              </w:rPr>
              <w:t>℃</w:t>
            </w:r>
          </w:p>
        </w:tc>
      </w:tr>
      <w:tr w14:paraId="1F1755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60B819D6">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21</w:t>
            </w:r>
          </w:p>
        </w:tc>
        <w:tc>
          <w:tcPr>
            <w:tcW w:w="868" w:type="pct"/>
            <w:noWrap w:val="0"/>
            <w:vAlign w:val="center"/>
          </w:tcPr>
          <w:p w14:paraId="217B2605">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膨胀剂测长仪</w:t>
            </w:r>
          </w:p>
        </w:tc>
        <w:tc>
          <w:tcPr>
            <w:tcW w:w="495" w:type="pct"/>
            <w:shd w:val="clear" w:color="auto" w:fill="auto"/>
            <w:noWrap w:val="0"/>
            <w:vAlign w:val="center"/>
          </w:tcPr>
          <w:p w14:paraId="1A2E293F">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shd w:val="clear" w:color="auto" w:fill="auto"/>
            <w:noWrap w:val="0"/>
            <w:vAlign w:val="center"/>
          </w:tcPr>
          <w:p w14:paraId="7BF3917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外加剂</w:t>
            </w:r>
          </w:p>
        </w:tc>
        <w:tc>
          <w:tcPr>
            <w:tcW w:w="736" w:type="pct"/>
            <w:shd w:val="clear" w:color="auto" w:fill="auto"/>
            <w:noWrap w:val="0"/>
            <w:vAlign w:val="center"/>
          </w:tcPr>
          <w:p w14:paraId="5A263A3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膨胀率</w:t>
            </w:r>
          </w:p>
        </w:tc>
        <w:tc>
          <w:tcPr>
            <w:tcW w:w="1999" w:type="pct"/>
            <w:noWrap w:val="0"/>
            <w:vAlign w:val="center"/>
          </w:tcPr>
          <w:p w14:paraId="55C1C82D">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符合《混凝土膨胀剂》GB/T 23439-2017的技术要求，带千分表</w:t>
            </w:r>
          </w:p>
        </w:tc>
      </w:tr>
      <w:tr w14:paraId="73D5B4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294071BC">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22</w:t>
            </w:r>
          </w:p>
        </w:tc>
        <w:tc>
          <w:tcPr>
            <w:tcW w:w="868" w:type="pct"/>
            <w:noWrap w:val="0"/>
            <w:vAlign w:val="center"/>
          </w:tcPr>
          <w:p w14:paraId="271CF41A">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温度计</w:t>
            </w:r>
          </w:p>
        </w:tc>
        <w:tc>
          <w:tcPr>
            <w:tcW w:w="495" w:type="pct"/>
            <w:shd w:val="clear" w:color="auto" w:fill="auto"/>
            <w:noWrap w:val="0"/>
            <w:vAlign w:val="center"/>
          </w:tcPr>
          <w:p w14:paraId="303F6372">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shd w:val="clear" w:color="auto" w:fill="auto"/>
            <w:noWrap w:val="0"/>
            <w:vAlign w:val="center"/>
          </w:tcPr>
          <w:p w14:paraId="1B88F87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路基路面</w:t>
            </w:r>
          </w:p>
        </w:tc>
        <w:tc>
          <w:tcPr>
            <w:tcW w:w="736" w:type="pct"/>
            <w:shd w:val="clear" w:color="auto" w:fill="auto"/>
            <w:noWrap w:val="0"/>
            <w:vAlign w:val="center"/>
          </w:tcPr>
          <w:p w14:paraId="232E9B9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施工温度</w:t>
            </w:r>
          </w:p>
        </w:tc>
        <w:tc>
          <w:tcPr>
            <w:tcW w:w="1999" w:type="pct"/>
            <w:noWrap w:val="0"/>
            <w:vAlign w:val="center"/>
          </w:tcPr>
          <w:p w14:paraId="1CD1204E">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（0℃～1000℃）/1℃</w:t>
            </w:r>
          </w:p>
        </w:tc>
      </w:tr>
      <w:tr w14:paraId="692FE1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02118BF5">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23</w:t>
            </w:r>
          </w:p>
        </w:tc>
        <w:tc>
          <w:tcPr>
            <w:tcW w:w="868" w:type="pct"/>
            <w:noWrap w:val="0"/>
            <w:vAlign w:val="center"/>
          </w:tcPr>
          <w:p w14:paraId="54D52B6C">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全自动混凝土抗渗试验机</w:t>
            </w:r>
          </w:p>
        </w:tc>
        <w:tc>
          <w:tcPr>
            <w:tcW w:w="495" w:type="pct"/>
            <w:shd w:val="clear" w:color="auto" w:fill="auto"/>
            <w:noWrap w:val="0"/>
            <w:vAlign w:val="center"/>
          </w:tcPr>
          <w:p w14:paraId="743CA1AE">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2</w:t>
            </w:r>
          </w:p>
        </w:tc>
        <w:tc>
          <w:tcPr>
            <w:tcW w:w="566" w:type="pct"/>
            <w:shd w:val="clear" w:color="auto" w:fill="auto"/>
            <w:noWrap w:val="0"/>
            <w:vAlign w:val="center"/>
          </w:tcPr>
          <w:p w14:paraId="17947DC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混凝土</w:t>
            </w:r>
          </w:p>
        </w:tc>
        <w:tc>
          <w:tcPr>
            <w:tcW w:w="736" w:type="pct"/>
            <w:shd w:val="clear" w:color="auto" w:fill="auto"/>
            <w:noWrap w:val="0"/>
            <w:vAlign w:val="center"/>
          </w:tcPr>
          <w:p w14:paraId="6AEFCE9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混凝土抗渗</w:t>
            </w:r>
          </w:p>
        </w:tc>
        <w:tc>
          <w:tcPr>
            <w:tcW w:w="4112" w:type="dxa"/>
            <w:noWrap w:val="0"/>
            <w:vAlign w:val="center"/>
          </w:tcPr>
          <w:p w14:paraId="3E9FC94E">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符合现行《混凝土抗渗仪》（JG/T 249-2009）的要求</w:t>
            </w:r>
          </w:p>
        </w:tc>
      </w:tr>
      <w:tr w14:paraId="4C3581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6350D0DA">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24</w:t>
            </w:r>
          </w:p>
        </w:tc>
        <w:tc>
          <w:tcPr>
            <w:tcW w:w="868" w:type="pct"/>
            <w:noWrap w:val="0"/>
            <w:vAlign w:val="center"/>
          </w:tcPr>
          <w:p w14:paraId="6D2787A6">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混凝土搅拌机</w:t>
            </w:r>
          </w:p>
        </w:tc>
        <w:tc>
          <w:tcPr>
            <w:tcW w:w="495" w:type="pct"/>
            <w:shd w:val="clear" w:color="auto" w:fill="auto"/>
            <w:noWrap w:val="0"/>
            <w:vAlign w:val="center"/>
          </w:tcPr>
          <w:p w14:paraId="1718AB12">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shd w:val="clear" w:color="auto" w:fill="auto"/>
            <w:noWrap w:val="0"/>
            <w:vAlign w:val="center"/>
          </w:tcPr>
          <w:p w14:paraId="0BF900B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混凝土</w:t>
            </w:r>
          </w:p>
        </w:tc>
        <w:tc>
          <w:tcPr>
            <w:tcW w:w="736" w:type="pct"/>
            <w:shd w:val="clear" w:color="auto" w:fill="auto"/>
            <w:noWrap w:val="0"/>
            <w:vAlign w:val="center"/>
          </w:tcPr>
          <w:p w14:paraId="1C19AB9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水泥混凝土拌合物</w:t>
            </w:r>
          </w:p>
        </w:tc>
        <w:tc>
          <w:tcPr>
            <w:tcW w:w="4112" w:type="dxa"/>
            <w:noWrap w:val="0"/>
            <w:vAlign w:val="center"/>
          </w:tcPr>
          <w:p w14:paraId="166103F2">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符合JG/T 244-2009的技术要求</w:t>
            </w:r>
          </w:p>
        </w:tc>
      </w:tr>
      <w:tr w14:paraId="3AC130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762CCB5F">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25</w:t>
            </w:r>
          </w:p>
        </w:tc>
        <w:tc>
          <w:tcPr>
            <w:tcW w:w="868" w:type="pct"/>
            <w:noWrap w:val="0"/>
            <w:vAlign w:val="center"/>
          </w:tcPr>
          <w:p w14:paraId="071231B6">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振动台</w:t>
            </w:r>
          </w:p>
        </w:tc>
        <w:tc>
          <w:tcPr>
            <w:tcW w:w="495" w:type="pct"/>
            <w:shd w:val="clear" w:color="auto" w:fill="auto"/>
            <w:noWrap w:val="0"/>
            <w:vAlign w:val="center"/>
          </w:tcPr>
          <w:p w14:paraId="7DED62CB">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shd w:val="clear" w:color="auto" w:fill="auto"/>
            <w:noWrap w:val="0"/>
            <w:vAlign w:val="center"/>
          </w:tcPr>
          <w:p w14:paraId="28796D7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混凝土</w:t>
            </w:r>
          </w:p>
        </w:tc>
        <w:tc>
          <w:tcPr>
            <w:tcW w:w="736" w:type="pct"/>
            <w:shd w:val="clear" w:color="auto" w:fill="auto"/>
            <w:noWrap w:val="0"/>
            <w:vAlign w:val="center"/>
          </w:tcPr>
          <w:p w14:paraId="6A5D6F0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水泥混凝土拌合物</w:t>
            </w:r>
          </w:p>
        </w:tc>
        <w:tc>
          <w:tcPr>
            <w:tcW w:w="4112" w:type="dxa"/>
            <w:noWrap w:val="0"/>
            <w:vAlign w:val="center"/>
          </w:tcPr>
          <w:p w14:paraId="6FF48B97">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符合JG/T 245-2009的技术要求且带磁吸功能，（100*100cm）</w:t>
            </w:r>
          </w:p>
        </w:tc>
      </w:tr>
      <w:tr w14:paraId="484B62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6BC3DEA0">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26</w:t>
            </w:r>
          </w:p>
        </w:tc>
        <w:tc>
          <w:tcPr>
            <w:tcW w:w="868" w:type="pct"/>
            <w:noWrap w:val="0"/>
            <w:vAlign w:val="center"/>
          </w:tcPr>
          <w:p w14:paraId="5B98AF23">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压浆材料压力泌水仪</w:t>
            </w:r>
          </w:p>
        </w:tc>
        <w:tc>
          <w:tcPr>
            <w:tcW w:w="495" w:type="pct"/>
            <w:shd w:val="clear" w:color="auto" w:fill="auto"/>
            <w:noWrap w:val="0"/>
            <w:vAlign w:val="center"/>
          </w:tcPr>
          <w:p w14:paraId="087FCFD0">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shd w:val="clear" w:color="auto" w:fill="auto"/>
            <w:noWrap w:val="0"/>
            <w:vAlign w:val="center"/>
          </w:tcPr>
          <w:p w14:paraId="55B38DB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压浆浆液</w:t>
            </w:r>
          </w:p>
        </w:tc>
        <w:tc>
          <w:tcPr>
            <w:tcW w:w="736" w:type="pct"/>
            <w:shd w:val="clear" w:color="auto" w:fill="auto"/>
            <w:noWrap w:val="0"/>
            <w:vAlign w:val="center"/>
          </w:tcPr>
          <w:p w14:paraId="7CC933D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压力泌水率</w:t>
            </w:r>
          </w:p>
        </w:tc>
        <w:tc>
          <w:tcPr>
            <w:tcW w:w="1999" w:type="pct"/>
            <w:noWrap w:val="0"/>
            <w:vAlign w:val="center"/>
          </w:tcPr>
          <w:p w14:paraId="546D3753">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0～1.6MPa</w:t>
            </w:r>
          </w:p>
        </w:tc>
      </w:tr>
      <w:tr w14:paraId="1FB6E1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230C626D">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27</w:t>
            </w:r>
          </w:p>
        </w:tc>
        <w:tc>
          <w:tcPr>
            <w:tcW w:w="868" w:type="pct"/>
            <w:noWrap/>
            <w:vAlign w:val="center"/>
          </w:tcPr>
          <w:p w14:paraId="537ED8F9">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摇筛机</w:t>
            </w:r>
          </w:p>
        </w:tc>
        <w:tc>
          <w:tcPr>
            <w:tcW w:w="495" w:type="pct"/>
            <w:shd w:val="clear" w:color="auto" w:fill="auto"/>
            <w:noWrap w:val="0"/>
            <w:vAlign w:val="center"/>
          </w:tcPr>
          <w:p w14:paraId="59167F66">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shd w:val="clear" w:color="auto" w:fill="auto"/>
            <w:noWrap w:val="0"/>
            <w:vAlign w:val="center"/>
          </w:tcPr>
          <w:p w14:paraId="3D947C2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集料</w:t>
            </w:r>
          </w:p>
        </w:tc>
        <w:tc>
          <w:tcPr>
            <w:tcW w:w="736" w:type="pct"/>
            <w:shd w:val="clear" w:color="auto" w:fill="auto"/>
            <w:noWrap w:val="0"/>
            <w:vAlign w:val="center"/>
          </w:tcPr>
          <w:p w14:paraId="63725A1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筛分</w:t>
            </w:r>
          </w:p>
        </w:tc>
        <w:tc>
          <w:tcPr>
            <w:tcW w:w="1999" w:type="pct"/>
            <w:noWrap w:val="0"/>
            <w:vAlign w:val="center"/>
          </w:tcPr>
          <w:p w14:paraId="688196DC">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筛子直径Φ200/300mm、筛座震幅8mm、筛摇动次数221次/分、震击次数147次/分、电机功率0.37KW\电机转数1400次/分、电压380V\回转半径12.5mm</w:t>
            </w:r>
          </w:p>
        </w:tc>
      </w:tr>
      <w:tr w14:paraId="0120D5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40BB408D">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28</w:t>
            </w:r>
          </w:p>
        </w:tc>
        <w:tc>
          <w:tcPr>
            <w:tcW w:w="868" w:type="pct"/>
            <w:noWrap/>
            <w:vAlign w:val="center"/>
          </w:tcPr>
          <w:p w14:paraId="1CA5282C">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lang w:eastAsia="zh-CN"/>
              </w:rPr>
            </w:pPr>
            <w:r>
              <w:rPr>
                <w:rFonts w:hint="eastAsia" w:ascii="Times New Roman" w:hAnsi="Times New Roman" w:eastAsia="宋体" w:cs="Times New Roman"/>
                <w:i w:val="0"/>
                <w:iCs w:val="0"/>
                <w:color w:val="000000"/>
                <w:kern w:val="0"/>
                <w:sz w:val="21"/>
                <w:szCs w:val="21"/>
                <w:u w:val="none"/>
                <w:lang w:val="en-US" w:eastAsia="zh-CN" w:bidi="ar"/>
              </w:rPr>
              <w:t>混凝土抗折试验机</w:t>
            </w:r>
          </w:p>
        </w:tc>
        <w:tc>
          <w:tcPr>
            <w:tcW w:w="495" w:type="pct"/>
            <w:shd w:val="clear" w:color="auto" w:fill="auto"/>
            <w:noWrap w:val="0"/>
            <w:vAlign w:val="center"/>
          </w:tcPr>
          <w:p w14:paraId="3B96E9A4">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shd w:val="clear" w:color="auto" w:fill="auto"/>
            <w:noWrap w:val="0"/>
            <w:vAlign w:val="center"/>
          </w:tcPr>
          <w:p w14:paraId="79EEAE2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混凝土</w:t>
            </w:r>
          </w:p>
        </w:tc>
        <w:tc>
          <w:tcPr>
            <w:tcW w:w="736" w:type="pct"/>
            <w:shd w:val="clear" w:color="auto" w:fill="auto"/>
            <w:noWrap w:val="0"/>
            <w:vAlign w:val="center"/>
          </w:tcPr>
          <w:p w14:paraId="0051CD0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抗折</w:t>
            </w:r>
          </w:p>
        </w:tc>
        <w:tc>
          <w:tcPr>
            <w:tcW w:w="1999" w:type="pct"/>
            <w:noWrap w:val="0"/>
            <w:vAlign w:val="center"/>
          </w:tcPr>
          <w:p w14:paraId="405463B3">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符合《试验机通用要求》要求，测量精度±0.1%，配混凝土抗折夹具、砂浆抗压夹具。</w:t>
            </w:r>
          </w:p>
        </w:tc>
      </w:tr>
      <w:tr w14:paraId="431280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4D94BA37">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29</w:t>
            </w:r>
          </w:p>
        </w:tc>
        <w:tc>
          <w:tcPr>
            <w:tcW w:w="868" w:type="pct"/>
            <w:noWrap/>
            <w:vAlign w:val="center"/>
          </w:tcPr>
          <w:p w14:paraId="0585210A">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静载锚固试验（装样预紧用小千斤顶）</w:t>
            </w:r>
          </w:p>
        </w:tc>
        <w:tc>
          <w:tcPr>
            <w:tcW w:w="495" w:type="pct"/>
            <w:shd w:val="clear" w:color="auto" w:fill="auto"/>
            <w:noWrap w:val="0"/>
            <w:vAlign w:val="center"/>
          </w:tcPr>
          <w:p w14:paraId="5258C895">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shd w:val="clear" w:color="auto" w:fill="auto"/>
            <w:noWrap w:val="0"/>
            <w:vAlign w:val="center"/>
          </w:tcPr>
          <w:p w14:paraId="22615AC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预应力锚夹具、钢绞线</w:t>
            </w:r>
          </w:p>
        </w:tc>
        <w:tc>
          <w:tcPr>
            <w:tcW w:w="736" w:type="pct"/>
            <w:shd w:val="clear" w:color="auto" w:fill="auto"/>
            <w:noWrap w:val="0"/>
            <w:vAlign w:val="center"/>
          </w:tcPr>
          <w:p w14:paraId="3493A0B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静载锚固性能</w:t>
            </w:r>
          </w:p>
        </w:tc>
        <w:tc>
          <w:tcPr>
            <w:tcW w:w="1999" w:type="pct"/>
            <w:noWrap w:val="0"/>
            <w:vAlign w:val="center"/>
          </w:tcPr>
          <w:p w14:paraId="7463B2E3">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最新款式，小巧轻便，方便操作</w:t>
            </w:r>
          </w:p>
        </w:tc>
      </w:tr>
      <w:tr w14:paraId="0D72FA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4E329ADE">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b w:val="0"/>
                <w:bCs/>
                <w:color w:val="000000"/>
                <w:spacing w:val="0"/>
                <w:kern w:val="0"/>
                <w:position w:val="0"/>
                <w:sz w:val="21"/>
                <w:szCs w:val="21"/>
                <w:lang w:bidi="ar"/>
              </w:rPr>
              <w:t>30</w:t>
            </w:r>
          </w:p>
        </w:tc>
        <w:tc>
          <w:tcPr>
            <w:tcW w:w="868" w:type="pct"/>
            <w:noWrap w:val="0"/>
            <w:vAlign w:val="center"/>
          </w:tcPr>
          <w:p w14:paraId="18EDCDB7">
            <w:pPr>
              <w:keepNext w:val="0"/>
              <w:keepLines w:val="0"/>
              <w:widowControl/>
              <w:suppressLineNumbers w:val="0"/>
              <w:jc w:val="center"/>
              <w:textAlignment w:val="center"/>
              <w:rPr>
                <w:rFonts w:hint="eastAsia" w:ascii="Times New Roman" w:hAnsi="Times New Roman" w:eastAsia="宋体" w:cs="Times New Roman"/>
                <w:b w:val="0"/>
                <w:color w:val="auto"/>
                <w:spacing w:val="0"/>
                <w:kern w:val="0"/>
                <w:position w:val="0"/>
                <w:szCs w:val="21"/>
              </w:rPr>
            </w:pPr>
            <w:r>
              <w:rPr>
                <w:rFonts w:hint="eastAsia" w:ascii="Times New Roman" w:hAnsi="Times New Roman" w:eastAsia="宋体" w:cs="Times New Roman"/>
                <w:i w:val="0"/>
                <w:iCs w:val="0"/>
                <w:color w:val="000000"/>
                <w:kern w:val="0"/>
                <w:sz w:val="21"/>
                <w:szCs w:val="21"/>
                <w:u w:val="none"/>
                <w:lang w:val="en-US" w:eastAsia="zh-CN" w:bidi="ar"/>
              </w:rPr>
              <w:t>程控式脱气恒温水处理器</w:t>
            </w:r>
          </w:p>
        </w:tc>
        <w:tc>
          <w:tcPr>
            <w:tcW w:w="495" w:type="pct"/>
            <w:shd w:val="clear" w:color="auto" w:fill="auto"/>
            <w:noWrap w:val="0"/>
            <w:vAlign w:val="center"/>
          </w:tcPr>
          <w:p w14:paraId="059258F9">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shd w:val="clear" w:color="auto" w:fill="auto"/>
            <w:noWrap w:val="0"/>
            <w:vAlign w:val="center"/>
          </w:tcPr>
          <w:p w14:paraId="52F9FA2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土工布</w:t>
            </w:r>
          </w:p>
        </w:tc>
        <w:tc>
          <w:tcPr>
            <w:tcW w:w="736" w:type="pct"/>
            <w:shd w:val="clear" w:color="auto" w:fill="auto"/>
            <w:noWrap w:val="0"/>
            <w:vAlign w:val="center"/>
          </w:tcPr>
          <w:p w14:paraId="2AFA3ED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2"/>
                <w:sz w:val="21"/>
                <w:szCs w:val="21"/>
                <w:u w:val="none"/>
                <w:lang w:val="en-US" w:eastAsia="zh-CN" w:bidi="ar-SA"/>
              </w:rPr>
            </w:pPr>
            <w:r>
              <w:rPr>
                <w:rFonts w:hint="eastAsia" w:ascii="Times New Roman" w:hAnsi="Times New Roman" w:eastAsia="宋体" w:cs="Times New Roman"/>
                <w:color w:val="000000"/>
                <w:kern w:val="0"/>
                <w:sz w:val="21"/>
                <w:szCs w:val="21"/>
                <w:lang w:bidi="ar"/>
              </w:rPr>
              <w:t>垂直渗透系数</w:t>
            </w:r>
          </w:p>
        </w:tc>
        <w:tc>
          <w:tcPr>
            <w:tcW w:w="1999" w:type="pct"/>
            <w:noWrap w:val="0"/>
            <w:vAlign w:val="center"/>
          </w:tcPr>
          <w:p w14:paraId="40FA0BD6">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满足规范GB/T 15789-2016规范要求，并且满足如下要求：1.温度范围：15～100℃，温度精度：±2℃；2.容积：50L；3.最大制冷量：13000W；4.循环方式：内循环；5.恒温方式：制冷，加热，热气旁通；6.冷却方式：风冷；7.配有外循环泵：75W，流量可调；8.出水扬程：12米；9.加热时间：不大于30min；10.制冷时间：小于或等于30min；</w:t>
            </w:r>
          </w:p>
        </w:tc>
      </w:tr>
      <w:tr w14:paraId="4C8384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5F0601B3">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default"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b w:val="0"/>
                <w:bCs/>
                <w:color w:val="000000"/>
                <w:spacing w:val="0"/>
                <w:kern w:val="0"/>
                <w:position w:val="0"/>
                <w:sz w:val="21"/>
                <w:szCs w:val="21"/>
                <w:lang w:val="en-US" w:eastAsia="zh-CN" w:bidi="ar"/>
              </w:rPr>
              <w:t>31</w:t>
            </w:r>
          </w:p>
        </w:tc>
        <w:tc>
          <w:tcPr>
            <w:tcW w:w="868" w:type="pct"/>
            <w:noWrap w:val="0"/>
            <w:vAlign w:val="center"/>
          </w:tcPr>
          <w:p w14:paraId="226154AD">
            <w:pPr>
              <w:keepNext w:val="0"/>
              <w:keepLines w:val="0"/>
              <w:widowControl/>
              <w:suppressLineNumbers w:val="0"/>
              <w:jc w:val="center"/>
              <w:textAlignment w:val="center"/>
              <w:rPr>
                <w:rFonts w:hint="eastAsia" w:ascii="Times New Roman" w:hAnsi="Times New Roman" w:eastAsia="宋体" w:cs="Times New Roman"/>
                <w:b w:val="0"/>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百分表</w:t>
            </w:r>
          </w:p>
        </w:tc>
        <w:tc>
          <w:tcPr>
            <w:tcW w:w="495" w:type="pct"/>
            <w:shd w:val="clear" w:color="auto" w:fill="auto"/>
            <w:noWrap w:val="0"/>
            <w:vAlign w:val="center"/>
          </w:tcPr>
          <w:p w14:paraId="7F99E35A">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4</w:t>
            </w:r>
          </w:p>
        </w:tc>
        <w:tc>
          <w:tcPr>
            <w:tcW w:w="566" w:type="pct"/>
            <w:shd w:val="clear" w:color="auto" w:fill="auto"/>
            <w:noWrap w:val="0"/>
            <w:vAlign w:val="center"/>
          </w:tcPr>
          <w:p w14:paraId="023FC6C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0"/>
                <w:sz w:val="21"/>
                <w:szCs w:val="21"/>
                <w:u w:val="none"/>
                <w:lang w:val="en-US" w:eastAsia="zh-CN" w:bidi="ar"/>
              </w:rPr>
            </w:pPr>
            <w:r>
              <w:rPr>
                <w:rFonts w:hint="eastAsia" w:ascii="Times New Roman" w:hAnsi="Times New Roman" w:eastAsia="宋体" w:cs="Times New Roman"/>
                <w:color w:val="000000"/>
                <w:kern w:val="0"/>
                <w:sz w:val="21"/>
                <w:szCs w:val="21"/>
                <w:lang w:bidi="ar"/>
              </w:rPr>
              <w:t>路基路面</w:t>
            </w:r>
          </w:p>
        </w:tc>
        <w:tc>
          <w:tcPr>
            <w:tcW w:w="736" w:type="pct"/>
            <w:shd w:val="clear" w:color="auto" w:fill="auto"/>
            <w:noWrap w:val="0"/>
            <w:vAlign w:val="center"/>
          </w:tcPr>
          <w:p w14:paraId="007EC22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0"/>
                <w:sz w:val="21"/>
                <w:szCs w:val="21"/>
                <w:u w:val="none"/>
                <w:lang w:val="en-US" w:eastAsia="zh-CN" w:bidi="ar"/>
              </w:rPr>
            </w:pPr>
            <w:r>
              <w:rPr>
                <w:rFonts w:hint="eastAsia" w:ascii="Times New Roman" w:hAnsi="Times New Roman" w:eastAsia="宋体" w:cs="Times New Roman"/>
                <w:color w:val="000000"/>
                <w:kern w:val="0"/>
                <w:sz w:val="21"/>
                <w:szCs w:val="21"/>
                <w:lang w:bidi="ar"/>
              </w:rPr>
              <w:t>弯沉</w:t>
            </w:r>
          </w:p>
        </w:tc>
        <w:tc>
          <w:tcPr>
            <w:tcW w:w="1999" w:type="pct"/>
            <w:noWrap w:val="0"/>
            <w:vAlign w:val="center"/>
          </w:tcPr>
          <w:p w14:paraId="4261F08D">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(0～10mm)/0.01mm</w:t>
            </w:r>
          </w:p>
        </w:tc>
      </w:tr>
      <w:tr w14:paraId="0F4D77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33" w:type="pct"/>
            <w:noWrap w:val="0"/>
            <w:vAlign w:val="center"/>
          </w:tcPr>
          <w:p w14:paraId="12C578CD">
            <w:pPr>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320" w:lineRule="exact"/>
              <w:ind w:left="0" w:right="0" w:firstLine="0"/>
              <w:jc w:val="center"/>
              <w:rPr>
                <w:rFonts w:hint="default"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b w:val="0"/>
                <w:bCs/>
                <w:color w:val="000000"/>
                <w:spacing w:val="0"/>
                <w:kern w:val="0"/>
                <w:position w:val="0"/>
                <w:sz w:val="21"/>
                <w:szCs w:val="21"/>
                <w:lang w:val="en-US" w:eastAsia="zh-CN" w:bidi="ar"/>
              </w:rPr>
              <w:t>32</w:t>
            </w:r>
          </w:p>
        </w:tc>
        <w:tc>
          <w:tcPr>
            <w:tcW w:w="868" w:type="pct"/>
            <w:noWrap w:val="0"/>
            <w:vAlign w:val="center"/>
          </w:tcPr>
          <w:p w14:paraId="5A017601">
            <w:pPr>
              <w:keepNext w:val="0"/>
              <w:keepLines w:val="0"/>
              <w:widowControl/>
              <w:suppressLineNumbers w:val="0"/>
              <w:jc w:val="center"/>
              <w:textAlignment w:val="center"/>
              <w:rPr>
                <w:rFonts w:hint="eastAsia" w:ascii="Times New Roman" w:hAnsi="Times New Roman" w:eastAsia="宋体" w:cs="Times New Roman"/>
                <w:b w:val="0"/>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3m直尺</w:t>
            </w:r>
          </w:p>
        </w:tc>
        <w:tc>
          <w:tcPr>
            <w:tcW w:w="495" w:type="pct"/>
            <w:shd w:val="clear" w:color="auto" w:fill="auto"/>
            <w:noWrap w:val="0"/>
            <w:vAlign w:val="center"/>
          </w:tcPr>
          <w:p w14:paraId="3C6DB007">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1</w:t>
            </w:r>
          </w:p>
        </w:tc>
        <w:tc>
          <w:tcPr>
            <w:tcW w:w="566" w:type="pct"/>
            <w:shd w:val="clear" w:color="auto" w:fill="auto"/>
            <w:noWrap w:val="0"/>
            <w:vAlign w:val="center"/>
          </w:tcPr>
          <w:p w14:paraId="1573E09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0"/>
                <w:sz w:val="21"/>
                <w:szCs w:val="21"/>
                <w:u w:val="none"/>
                <w:lang w:val="en-US" w:eastAsia="zh-CN" w:bidi="ar"/>
              </w:rPr>
            </w:pPr>
            <w:r>
              <w:rPr>
                <w:rFonts w:hint="eastAsia" w:ascii="Times New Roman" w:hAnsi="Times New Roman" w:eastAsia="宋体" w:cs="Times New Roman"/>
                <w:color w:val="000000"/>
                <w:kern w:val="0"/>
                <w:sz w:val="21"/>
                <w:szCs w:val="21"/>
                <w:lang w:bidi="ar"/>
              </w:rPr>
              <w:t>路基路面</w:t>
            </w:r>
          </w:p>
        </w:tc>
        <w:tc>
          <w:tcPr>
            <w:tcW w:w="736" w:type="pct"/>
            <w:shd w:val="clear" w:color="auto" w:fill="auto"/>
            <w:noWrap w:val="0"/>
            <w:vAlign w:val="center"/>
          </w:tcPr>
          <w:p w14:paraId="5F679AD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val="0"/>
                <w:i w:val="0"/>
                <w:iCs w:val="0"/>
                <w:color w:val="000000"/>
                <w:kern w:val="0"/>
                <w:sz w:val="21"/>
                <w:szCs w:val="21"/>
                <w:u w:val="none"/>
                <w:lang w:val="en-US" w:eastAsia="zh-CN" w:bidi="ar"/>
              </w:rPr>
            </w:pPr>
            <w:r>
              <w:rPr>
                <w:rFonts w:hint="eastAsia" w:ascii="Times New Roman" w:hAnsi="Times New Roman" w:eastAsia="宋体" w:cs="Times New Roman"/>
                <w:color w:val="000000"/>
                <w:kern w:val="0"/>
                <w:sz w:val="21"/>
                <w:szCs w:val="21"/>
                <w:lang w:bidi="ar"/>
              </w:rPr>
              <w:t>平整度</w:t>
            </w:r>
          </w:p>
        </w:tc>
        <w:tc>
          <w:tcPr>
            <w:tcW w:w="1999" w:type="pct"/>
            <w:noWrap w:val="0"/>
            <w:vAlign w:val="center"/>
          </w:tcPr>
          <w:p w14:paraId="49F38FD1">
            <w:pPr>
              <w:keepNext w:val="0"/>
              <w:keepLines w:val="0"/>
              <w:widowControl/>
              <w:suppressLineNumbers w:val="0"/>
              <w:jc w:val="center"/>
              <w:textAlignment w:val="center"/>
              <w:rPr>
                <w:rFonts w:hint="eastAsia" w:ascii="Times New Roman" w:hAnsi="Times New Roman" w:eastAsia="宋体" w:cs="Times New Roman"/>
                <w:b w:val="0"/>
                <w:bCs/>
                <w:color w:val="000000"/>
                <w:spacing w:val="0"/>
                <w:kern w:val="0"/>
                <w:position w:val="0"/>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铝合金材质、带水平泡、折叠式、带0.5mm塞尺</w:t>
            </w:r>
          </w:p>
        </w:tc>
      </w:tr>
    </w:tbl>
    <w:p w14:paraId="1B1D3884">
      <w:pPr>
        <w:spacing w:line="460" w:lineRule="exact"/>
        <w:jc w:val="center"/>
        <w:rPr>
          <w:rFonts w:hint="default" w:ascii="Times New Roman" w:hAnsi="Times New Roman" w:eastAsia="宋体" w:cs="Times New Roman"/>
          <w:b w:val="0"/>
          <w:bCs/>
          <w:sz w:val="24"/>
          <w:szCs w:val="24"/>
          <w:lang w:val="en-US" w:eastAsia="zh-CN"/>
        </w:rPr>
      </w:pPr>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53BAE5FA">
      <w:pPr>
        <w:pStyle w:val="5"/>
        <w:spacing w:line="240" w:lineRule="auto"/>
        <w:ind w:firstLine="261"/>
        <w:rPr>
          <w:rFonts w:hint="eastAsia"/>
          <w:szCs w:val="18"/>
        </w:rPr>
      </w:pPr>
      <w:r>
        <w:rPr>
          <w:rStyle w:val="9"/>
          <w:szCs w:val="18"/>
        </w:rPr>
        <w:footnoteRef/>
      </w:r>
      <w:r>
        <w:rPr>
          <w:rFonts w:hint="eastAsia"/>
          <w:szCs w:val="18"/>
        </w:rPr>
        <w:t>单位负责人是指单位的法定代表人或者法律、行政法规规定代表单位行使职权的主要负责人。</w:t>
      </w:r>
    </w:p>
  </w:footnote>
  <w:footnote w:id="1">
    <w:p w14:paraId="3DBB449A">
      <w:pPr>
        <w:pStyle w:val="5"/>
        <w:spacing w:line="240" w:lineRule="auto"/>
        <w:ind w:firstLine="261"/>
        <w:rPr>
          <w:rFonts w:hint="eastAsia"/>
          <w:szCs w:val="18"/>
        </w:rPr>
      </w:pPr>
      <w:r>
        <w:rPr>
          <w:rStyle w:val="9"/>
          <w:szCs w:val="18"/>
        </w:rPr>
        <w:footnoteRef/>
      </w:r>
      <w:r>
        <w:rPr>
          <w:rFonts w:hint="eastAsia"/>
          <w:szCs w:val="18"/>
        </w:rPr>
        <w:t>控股是指股份占股份有限公司股本总额的50%以上的绝对控股、相对控股或协议控股。</w:t>
      </w:r>
    </w:p>
  </w:footnote>
  <w:footnote w:id="2">
    <w:p w14:paraId="5F43A1FF">
      <w:pPr>
        <w:pStyle w:val="5"/>
        <w:spacing w:line="240" w:lineRule="auto"/>
        <w:ind w:firstLine="261"/>
        <w:rPr>
          <w:rFonts w:hint="eastAsia"/>
          <w:szCs w:val="18"/>
        </w:rPr>
      </w:pPr>
      <w:r>
        <w:rPr>
          <w:rStyle w:val="9"/>
          <w:szCs w:val="18"/>
        </w:rPr>
        <w:footnoteRef/>
      </w:r>
      <w:r>
        <w:rPr>
          <w:rFonts w:hint="eastAsia"/>
          <w:szCs w:val="18"/>
        </w:rPr>
        <w:t>管理关系是指不具有出资持股关系的其它单位之间存在的管理与被管理关系。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019217C"/>
    <w:rsid w:val="03CA52DC"/>
    <w:rsid w:val="05B91EB8"/>
    <w:rsid w:val="061C76EF"/>
    <w:rsid w:val="06980431"/>
    <w:rsid w:val="0A69025B"/>
    <w:rsid w:val="0C5566B6"/>
    <w:rsid w:val="0C5D3886"/>
    <w:rsid w:val="0CE82C06"/>
    <w:rsid w:val="0E107158"/>
    <w:rsid w:val="123E483B"/>
    <w:rsid w:val="12ED5CBA"/>
    <w:rsid w:val="132E41FF"/>
    <w:rsid w:val="14B45F2D"/>
    <w:rsid w:val="18A64941"/>
    <w:rsid w:val="18B434EF"/>
    <w:rsid w:val="19152A58"/>
    <w:rsid w:val="1F6E04B3"/>
    <w:rsid w:val="214C6B85"/>
    <w:rsid w:val="220628F4"/>
    <w:rsid w:val="25915B11"/>
    <w:rsid w:val="2E84707B"/>
    <w:rsid w:val="346E2270"/>
    <w:rsid w:val="357B5ACE"/>
    <w:rsid w:val="38592295"/>
    <w:rsid w:val="396C4183"/>
    <w:rsid w:val="39861D09"/>
    <w:rsid w:val="41497287"/>
    <w:rsid w:val="435C016E"/>
    <w:rsid w:val="45A04342"/>
    <w:rsid w:val="47B53AE6"/>
    <w:rsid w:val="4B571B97"/>
    <w:rsid w:val="4B6A7489"/>
    <w:rsid w:val="4D086E98"/>
    <w:rsid w:val="4F3223B5"/>
    <w:rsid w:val="50460DCD"/>
    <w:rsid w:val="517D31EE"/>
    <w:rsid w:val="573C7DA8"/>
    <w:rsid w:val="57BF2D4E"/>
    <w:rsid w:val="5AF52F61"/>
    <w:rsid w:val="5CAE663E"/>
    <w:rsid w:val="61C16B2F"/>
    <w:rsid w:val="63166D1A"/>
    <w:rsid w:val="66650F64"/>
    <w:rsid w:val="6A827015"/>
    <w:rsid w:val="6B8D4CE9"/>
    <w:rsid w:val="783A3D4E"/>
    <w:rsid w:val="7DC8349B"/>
    <w:rsid w:val="7E6A4A1A"/>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autoRedefine/>
    <w:qFormat/>
    <w:uiPriority w:val="99"/>
    <w:pPr>
      <w:ind w:firstLine="420" w:firstLineChars="200"/>
    </w:pPr>
  </w:style>
  <w:style w:type="paragraph" w:styleId="3">
    <w:name w:val="Plain Text"/>
    <w:basedOn w:val="1"/>
    <w:next w:val="1"/>
    <w:autoRedefine/>
    <w:qFormat/>
    <w:uiPriority w:val="0"/>
    <w:rPr>
      <w:rFonts w:ascii="宋体" w:hAnsi="Courier New"/>
      <w:szCs w:val="20"/>
    </w:rPr>
  </w:style>
  <w:style w:type="paragraph" w:styleId="4">
    <w:name w:val="Body Text Indent 2"/>
    <w:basedOn w:val="1"/>
    <w:qFormat/>
    <w:uiPriority w:val="0"/>
    <w:pPr>
      <w:spacing w:after="120" w:line="480" w:lineRule="auto"/>
      <w:ind w:left="420" w:leftChars="200"/>
    </w:pPr>
  </w:style>
  <w:style w:type="paragraph" w:styleId="5">
    <w:name w:val="footnote text"/>
    <w:basedOn w:val="1"/>
    <w:autoRedefine/>
    <w:qFormat/>
    <w:uiPriority w:val="0"/>
    <w:pPr>
      <w:adjustRightInd w:val="0"/>
      <w:snapToGrid w:val="0"/>
      <w:spacing w:line="420" w:lineRule="atLeast"/>
      <w:ind w:firstLine="454"/>
      <w:jc w:val="left"/>
      <w:textAlignment w:val="baseline"/>
    </w:pPr>
    <w:rPr>
      <w:kern w:val="0"/>
      <w:sz w:val="18"/>
      <w:szCs w:val="20"/>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autoRedefine/>
    <w:qFormat/>
    <w:uiPriority w:val="0"/>
    <w:rPr>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3091</Words>
  <Characters>3785</Characters>
  <Lines>0</Lines>
  <Paragraphs>0</Paragraphs>
  <TotalTime>3</TotalTime>
  <ScaleCrop>false</ScaleCrop>
  <LinksUpToDate>false</LinksUpToDate>
  <CharactersWithSpaces>4034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2024-04-19T08:02:00Z</cp:lastPrinted>
  <dcterms:modified xsi:type="dcterms:W3CDTF">2025-02-18T01:41:57Z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CCB86E55695F4B028BBE2044A5A9EE80_13</vt:lpwstr>
  </property>
  <property fmtid="{D5CDD505-2E9C-101B-9397-08002B2CF9AE}" pid="4" name="KSOTemplateDocerSaveRecord">
    <vt:lpwstr>eyJoZGlkIjoiOTE4Y2EwYmRmZjAzZGNmOGU3YWM0ODUyYjE4ZWE0NTIiLCJ1c2VySWQiOiIzNTQ0Mjc5MzMifQ==</vt:lpwstr>
  </property>
</Properties>
</file>